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35/2018 vom 16. Februar 2018</w:t>
      </w:r>
    </w:p>
    <w:p>
      <w:r>
        <w:t>Bundesgericht, 2018-02-16, DE</w:t>
      </w:r>
    </w:p>
    <w:p>
      <w:r>
        <w:rPr>
          <w:b/>
        </w:rPr>
        <w:t xml:space="preserve">Quelle: </w:t>
      </w:r>
      <w:r>
        <w:t>https://mcp.opencaselaw.ch/entscheid/bger_5D_35_2018</w:t>
      </w:r>
    </w:p>
    <w:p>
      <w:r>
        <w:t>FR: TF 5D 35/2018 du 16 février 2018</w:t>
      </w:r>
    </w:p>
    <w:p>
      <w:r>
        <w:t>IT: TF 5D 35/2018 del 16 febbraio 2018</w:t>
      </w:r>
    </w:p>
    <w:p>
      <w:pPr>
        <w:pStyle w:val="Heading2"/>
      </w:pPr>
      <w:r>
        <w:t>Regeste</w:t>
      </w:r>
    </w:p>
    <w:p>
      <w:r>
        <w:t>Wiederherstellung der Frist (definitive Rechtsöffnung) | Schuldbetreibungs- und Konkursrecht</w:t>
      </w:r>
    </w:p>
    <w:p>
      <w:pPr>
        <w:pStyle w:val="Heading2"/>
      </w:pPr>
      <w:r>
        <w:t>Erwägungen</w:t>
      </w:r>
    </w:p>
    <w:p>
      <w:r>
        <w:rPr>
          <w:b/>
        </w:rPr>
        <w:t>E. 1</w:t>
      </w:r>
    </w:p>
    <w:p>
      <w:r>
        <w:t>Am 27. Oktober 2017 hat die Beschwerdeführerin das Kantonsgericht Basel-Landschaft um Fristwiederherstellung in vier Rechtsöffnungsverfahren ersucht. Mit Entscheid vom 28. Dezember 2017 ist das Kantonsgericht auf das Gesuch mangels Leistung des Kostenvorschusses nicht eingetreten. Gegen diesen Entscheid hat die Beschwerdeführerin am 12. Februar 2018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Die Beschwerdeführerin bestreitet nicht, dass sie den verlangten Kostenvorschuss (Fr. 200.--) nicht binnen Frist geleistet hat. Sie macht stattdessen geltend, ihr sei die unentgeltliche Rechtspflege nicht gewährt worden. Der angefochtene Entscheid enthält dazu jedoch nichts: Weder wird darin ein entsprechendes Gesuch behandelt noch lässt sich daraus entnehmen, dass sie ein solches gestellt hätte. Sie macht auch nicht geltend, dass das Kantonsgericht ein solches Gesuch übergangen hätte. Sie verlangt zudem eine Frist von mindestens sechs Monaten zur Bezahlung des Vorschusses. Weshalb ihr unter verfassungsrechtlichen Gesichtspunkten eine solche Frist gewährt werden müsste, legt sie nicht mit genügender Begründung dar. Für die Wiederherstellung der Frist zur Leistung des Kostenvorschusses an das Kantonsgericht ist nicht das Bundesgericht zuständig. Dazu hat sie sich an das Kantonsgericht zu wenden. Ebenso hätte sie ein Gesuch um unentgeltliche Rechtspflege für das kantonsgerichtliche Verfahren an das Kantonsgericht zu richten. Die Beschwerdeführerin zeigt demnach nicht auf, inwiefern das Obergericht verfassungsmässige Rechte verletzt haben soll. Die Beschwerde enthält offensichtlich keine hinreichende Begründung. Auf sie ist im vereinfachten Verfahren gemäss Art. 117 i.V.m. Art. 108 Abs. 1 lit.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Wie die vorstehenden Erwägungen zeigen, war ihre Beschwerde von Anfang an aussichtslos. Ihr sinngemässes Gesuch um unentgeltliche Rechtspflege für das bundesgerichtlichen Verfahren ist deshalb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