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5D_34/2020 vom 28. Februar 2020</w:t>
      </w:r>
    </w:p>
    <w:p>
      <w:r>
        <w:t>Bundesgericht, 2020-02-28, FR</w:t>
      </w:r>
    </w:p>
    <w:p>
      <w:r>
        <w:rPr>
          <w:b/>
        </w:rPr>
        <w:t xml:space="preserve">Quelle: </w:t>
      </w:r>
      <w:r>
        <w:t>https://mcp.opencaselaw.ch/entscheid/bger_5D_34_2020</w:t>
      </w:r>
    </w:p>
    <w:p>
      <w:r>
        <w:t>FR: TF 5D_34/2020 du 28 février 2020</w:t>
      </w:r>
    </w:p>
    <w:p>
      <w:r>
        <w:t>IT: TF 5D_34/2020 del 28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23 janvier 2020, le Juge unique de la Chambre civile du Tribunal cantonal du canton du Valais a déclaré irrecevable - faute de conclusions et d'une motivation suffisante - le recours interjeté le 13 septembre 2019 par A.________ à l'encontre du jugement rendu le 13 août 2019 par le Juge II des districts d'Hérens et Conthey admettant l'action en prescription acquisitive extraordinaire formulée par B.________, partant constatant l'existence d'une servitude de passage à pied en faveur de la parcelle propriété de B.________, à charge de deux parcelles, inscrites au nom de A.________.</w:t>
      </w:r>
    </w:p>
    <w:p>
      <w:r>
        <w:rPr>
          <w:b/>
        </w:rPr>
        <w:t>E. 2</w:t>
      </w:r>
    </w:p>
    <w:p>
      <w:r>
        <w:t>Par acte du 20 février 2020, A.________ exerce un recours en matière civile au Tribunal fédéral, tendant en substance au rejet de l'action en prescription acquisitive et au constat de l'existence d'une servitude.</w:t>
      </w:r>
    </w:p>
    <w:p>
      <w:r>
        <w:t>Eu égard à la valeur litigieuse en cause - estimée à moins de 8'000 fr. par le premier juge -, le présent recours est traité comme un recours constitutionnel subsidiaire ( art. 113 ss LTF ).</w:t>
      </w:r>
    </w:p>
    <w:p>
      <w:r>
        <w:t>En l'occurrence, le recourant se limite en quelques phrases à déclarer faire recours, expose qu'un passage nécessaire est accordé à l'endroit " le plus court et le moins dommageable " et affirme que la preuve de l'utilisation de ce passage depuis plus de 30 ans n'a pas été rapportée. Ce faisant, le recourant ne soulève pas le moindre grief,</w:t>
      </w:r>
    </w:p>
    <w:p>
      <w:r>
        <w:t>a fortiori tendant à démontrer de manière claire et précise que le raisonnement de la décision cantonale querellée concernant l'irrecevabilité de son recours serait contraire à l'un de ses droits fondamentaux ou à la Constitution. Il s'ensuit que le recours ne satisfait pas aux exigences accrues de motivation posées par les art. 106 al. 2 et 116 LTF , par renvoi de l' art. 117 LTF .</w:t>
      </w:r>
    </w:p>
    <w:p>
      <w:r>
        <w:t>Le recours doit donc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Les frais judiciaires, arrêtés à 500 fr., sont mis à la charge du recourant qui succombe ( art. 66 al. 1 LTF ). Il n'est pas alloué de dépens à l'intimé qui ne s'est pas déterminé.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