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5D_33/2023 vom 9. Februar 2023</w:t>
      </w:r>
    </w:p>
    <w:p>
      <w:r>
        <w:t>Bundesgericht, 2023-02-09, DE</w:t>
      </w:r>
    </w:p>
    <w:p>
      <w:r>
        <w:rPr>
          <w:b/>
        </w:rPr>
        <w:t xml:space="preserve">Quelle: </w:t>
      </w:r>
      <w:r>
        <w:t>https://mcp.opencaselaw.ch/entscheid/bger_5D_33_2023</w:t>
      </w:r>
    </w:p>
    <w:p>
      <w:r>
        <w:t>FR: TF 5D_33/2023 du 9 février 2023</w:t>
      </w:r>
    </w:p>
    <w:p>
      <w:r>
        <w:t>IT: TF 5D_33/2023 del 9 febbraio 2023</w:t>
      </w:r>
    </w:p>
    <w:p>
      <w:pPr>
        <w:pStyle w:val="Heading2"/>
      </w:pPr>
      <w:r>
        <w:t>Erwägungen</w:t>
      </w:r>
    </w:p>
    <w:p>
      <w:r>
        <w:rPr>
          <w:b/>
        </w:rPr>
        <w:t>E. 1</w:t>
      </w:r>
    </w:p>
    <w:p>
      <w:r>
        <w:t>Mit Entscheid vom 20. September 2022 erteilte das Zivilgericht Basel-Stadt dem Kanton Basel-Stadt in der Betreibung Nr. eee des Betreibungsamtes Basel-Stadt die definitive Rechtsöffnung für Fr. 898.15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300.--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5D_29/2023 bis 5D_32/2023 sowie 5D_34/2023)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