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5D_32/2022 vom 16. März 2022</w:t>
      </w:r>
    </w:p>
    <w:p>
      <w:r>
        <w:t>Bundesgericht, 2022-03-16, FR</w:t>
      </w:r>
    </w:p>
    <w:p>
      <w:r>
        <w:rPr>
          <w:b/>
        </w:rPr>
        <w:t xml:space="preserve">Quelle: </w:t>
      </w:r>
      <w:r>
        <w:t>https://mcp.opencaselaw.ch/entscheid/bger_5D_32_2022</w:t>
      </w:r>
    </w:p>
    <w:p>
      <w:r>
        <w:t>FR: TF 5D_32/2022 du 16 mars 2022</w:t>
      </w:r>
    </w:p>
    <w:p>
      <w:r>
        <w:t>IT: TF 5D_32/2022 del 16 marzo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prononcé du 22 octobre 2021, la Juge de paix du district de La Riviera - Pays-d'Enhaut a levé définitivement l'opposition formée par A.________ au commandement de payer que lui a fait notifier l'État de Vaud (</w:t>
      </w:r>
    </w:p>
    <w:p>
      <w:r>
        <w:t>poursuite n° xx'xxx'xxx de l'Office des poursuites du district de La Riviera - Pays-d'Enhaut ). Cette poursuite se fonde sur un jugement rendu le 13 août 2020 par le Tribunal de police de l'arrondissement de l'Est vaudois, condamnant le poursuivi à une amende de 400 fr., et un arrêt rendu le 28 octobre 2020 par la Cour d'appel pénale du Tribunal cantonal vaudois, confirmant notamment cette amende.</w:t>
      </w:r>
    </w:p>
    <w:p>
      <w:r>
        <w:t>Par arrêt du 31 décembre 2021, la Cour des poursuites et faillites du Tribunal cantonal vaudois a déclaré irrecevable le recours déposé par le poursuivi contre cette décision.</w:t>
      </w:r>
    </w:p>
    <w:p>
      <w:r>
        <w:rPr>
          <w:b/>
        </w:rPr>
        <w:t>E. 2</w:t>
      </w:r>
    </w:p>
    <w:p>
      <w:r>
        <w:t>Par acte expédié le 17 février 2022, le poursuivi forme "</w:t>
      </w:r>
    </w:p>
    <w:p>
      <w:r>
        <w:t>opposition " à cet arrêt; il conclut à son "</w:t>
      </w:r>
    </w:p>
    <w:p>
      <w:r>
        <w:t>acquittement total " et à un "</w:t>
      </w:r>
    </w:p>
    <w:p>
      <w:r>
        <w:t>dédommagement à hauteur de CHF 10'000.- ".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Compte tenu de l'insuffisance de la valeur litigieuse et de l'absence de question juridique de principe (art. 74 al. 1 let. b et al. 2 let. a LTF), le présent mémoire est traité comme recours constitutionnel subsidiaire au sens des art. 113 ss LTF . Il apparaît superflu d'examiner les autres conditions de recevabilité, le procédé étant voué à l'échec.</w:t>
      </w:r>
    </w:p>
    <w:p>
      <w:r>
        <w:rPr>
          <w:b/>
        </w:rPr>
        <w:t>E. 4.1</w:t>
      </w:r>
    </w:p>
    <w:p>
      <w:r>
        <w:t>En l'espèce, la juridiction précédente a retenu que le recourant ne contestait pas la décision attaquée en tant que telle, mais remettait en cause les jugements sur lesquels reposait la poursuite litigieuse; or, le juge de la mainlevée doit uniquement vérifier si la créance en poursuite résulte du jugement exécutoire produit par la partie poursuivante, mais n'a pas à se prononcer sur l'existence matérielle de cette prétention, ni sur le bien-fondé du jugement qui la constate. Il s'ensuit que, faute de motivation conforme à l' art. 321 al. 1 CPC , le recours est irrecevable.</w:t>
      </w:r>
    </w:p>
    <w:p>
      <w:r>
        <w:rPr>
          <w:b/>
        </w:rPr>
        <w:t>E. 4.2</w:t>
      </w:r>
    </w:p>
    <w:p>
      <w:r>
        <w:t>Le recourant ne soulève pas le moindre grief visant à démontrer en quoi les motifs de la cour cantonale seraient arbitraires ou violeraient d'autres droits constitutionnels ( art. 116 LTF ); en substance, il déclare se sentir "</w:t>
      </w:r>
    </w:p>
    <w:p>
      <w:r>
        <w:t>insulté " par l'irrecevabilité du recours cantonal et expose les circonstances de l'accident ayant conduit à sa condamnation pénale, qu'il qualifie d'"</w:t>
      </w:r>
    </w:p>
    <w:p>
      <w:r>
        <w:t>accusation imaginaire ". Toutefois, cette argumentation ne satisfait aucunement à l'exigence de motivation prévue par l' art. 106 al. 2 LTF (par renvoi de l' art. 117 LTF ), de sorte que le recours s'avère irrecevable ( ATF 136 I 332 consid. 2.1).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let. b et art. 117 LTF ), aux frais du recourant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