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5D_319/2020 vom 5. Januar 2021</w:t>
      </w:r>
    </w:p>
    <w:p>
      <w:r>
        <w:t>Bundesgericht, 2021-01-05, DE</w:t>
      </w:r>
    </w:p>
    <w:p>
      <w:r>
        <w:rPr>
          <w:b/>
        </w:rPr>
        <w:t xml:space="preserve">Quelle: </w:t>
      </w:r>
      <w:r>
        <w:t>https://mcp.opencaselaw.ch/entscheid/bger_5D_319_2020</w:t>
      </w:r>
    </w:p>
    <w:p>
      <w:r>
        <w:t>FR: TF 5D_319/2020 du 5 janvier 2021</w:t>
      </w:r>
    </w:p>
    <w:p>
      <w:r>
        <w:t>IT: TF 5D_319/2020 del 5 gennaio 2021</w:t>
      </w:r>
    </w:p>
    <w:p>
      <w:pPr>
        <w:pStyle w:val="Heading2"/>
      </w:pPr>
      <w:r>
        <w:t>Erwägungen</w:t>
      </w:r>
    </w:p>
    <w:p>
      <w:r>
        <w:rPr>
          <w:b/>
        </w:rPr>
        <w:t>E. 1</w:t>
      </w:r>
    </w:p>
    <w:p>
      <w:r>
        <w:t>Der Streitwert beträgt weniger als Fr. 30'000.--, weshalb die Beschwerde in Zivilsachen nicht gegeben ist ( Art. 74 Abs. 1 lit. b BGG ). Somit steht nur die subsidiäre Verfassungsbeschwerde zur Verfügung ( Art. 113 BGG ).</w:t>
      </w:r>
    </w:p>
    <w:p>
      <w:r>
        <w:t>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t>Weil überdies die Vorinstanz auf das kantonale Rechtsmittel des Beschwerdeführers nicht eingetreten ist, betrifft der Anfechtungsgegenstand grundsätzlich nur die Frage, ob die Vorinstanz zu Recht einen Nichteintretensentscheid gefällt hat ( BGE 135 II 38 E. 1.2 S. 41; 139 II 233 E. 3.2 S. 235) oder ob sie mit ihren Nichteintretenserwägungen gegen ein verfassungsmässiges Recht verstossen hat.</w:t>
      </w:r>
    </w:p>
    <w:p>
      <w:r>
        <w:rPr>
          <w:b/>
        </w:rPr>
        <w:t>E. 2</w:t>
      </w:r>
    </w:p>
    <w:p>
      <w:r>
        <w:t>Der Beschwerdeführer bringt vor, dass er seit Ende September 2020 arbeitslos sei und dies nunmehr auch belegen könne; sodann habe die Arbeitslosenkasse eine Einstellung von 35 Tagen verfügt. Ferner folgen Ausführungen, die sich auf das damalige Unterhaltsverfahren zu beziehen scheinen.</w:t>
      </w:r>
    </w:p>
    <w:p>
      <w:r>
        <w:t>Ein verfassungsmässiges Recht wird nicht angerufen und die Ausführungen vermögen auch inhaltlich den an Verfassungsrügen zu stellenden Anforderungen nicht zu genügen; sodann beziehen sie sich auch nicht auf die Nichteintretenserwägungen des angefochtenen Entscheides.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