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318/2020 vom 29. Dezember 2020</w:t>
      </w:r>
    </w:p>
    <w:p>
      <w:r>
        <w:t>Bundesgericht, 2020-12-29, DE</w:t>
      </w:r>
    </w:p>
    <w:p>
      <w:r>
        <w:rPr>
          <w:b/>
        </w:rPr>
        <w:t xml:space="preserve">Quelle: </w:t>
      </w:r>
      <w:r>
        <w:t>https://mcp.opencaselaw.ch/entscheid/bger_5D_318_2020</w:t>
      </w:r>
    </w:p>
    <w:p>
      <w:r>
        <w:t>FR: TF 5D 318/2020 du 29 décembre 2020</w:t>
      </w:r>
    </w:p>
    <w:p>
      <w:r>
        <w:t>IT: TF 5D 318/2020 del 29 dicembre 2020</w:t>
      </w:r>
    </w:p>
    <w:p>
      <w:pPr>
        <w:pStyle w:val="Heading2"/>
      </w:pPr>
      <w:r>
        <w:t>Regeste</w:t>
      </w:r>
    </w:p>
    <w:p>
      <w:r>
        <w:t>Definitive Rechtsöffnung | Schuldbetreibungs- und Konkursrecht</w:t>
      </w:r>
    </w:p>
    <w:p>
      <w:pPr>
        <w:pStyle w:val="Heading2"/>
      </w:pPr>
      <w:r>
        <w:t>Erwägungen</w:t>
      </w:r>
    </w:p>
    <w:p>
      <w:r>
        <w:rPr>
          <w:b/>
        </w:rPr>
        <w:t>E. 1</w:t>
      </w:r>
    </w:p>
    <w:p>
      <w:r>
        <w:t>Mit Urteil vom 7. Oktober 2020 erteilte das Bezirksgericht Zürich dem Beschwerdegegner gegenüber der Beschwerdeführerin in der Betreibung Nr. xxx des Betreibungsamtes Zürich 7 die definitive Rechtsöffnung für Fr. 3'600.-- nebst Zins. Als Rechtsöffnungstitel diente die rechtskräftige Bussenverfügung des kantonalen Steueramtes Zürich vom 13. November 2018 betreffend die Direkte Bundessteuer wegen Nichteinreichens der Steuererklärung für das Jahr 2016. Gegen den Rechtsöffnungsentscheid erhob die Beschwerdeführerin am 5. November 2020 Beschwerde. Mit Urteil vom 20. November 2020 wies das Obergericht des Kantons Zürich die Beschwerde ab, soweit es darauf eintrat. Dagegen hat die Beschwerdeführerin am 28. Dezember 2020 (Postaufgabe)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 Die Beschwerdeführerin stellt zahlreiche Anträge, von denen die meisten neu sind. Auf die neuen Anträge ist von vornherein nicht einzutreten (Art. 117 i.V.m. Art. 99 Abs. 2 BGG ). Angefochten werden kann sodann nur das Urteil des Obergerichts, nicht auch dasjenige des Bezirksgerichts (Art. 114 i.V.m. Art. 75 BGG ).</w:t>
      </w:r>
    </w:p>
    <w:p>
      <w:r>
        <w:rPr>
          <w:b/>
        </w:rPr>
        <w:t>E. 3</w:t>
      </w:r>
    </w:p>
    <w:p>
      <w:r>
        <w:t>Die Beschwerdeführerin verweist auf Art. 5 und Art. 9 BV . Inwiefern das angefochtene Urteil jedoch willkürlich oder aus anderen Gründen verfassungswidrig sein soll, legt sie nicht dar. Die Beschwerdeführerin schildert bloss die Sach- und Rechtslage aus eigener Sicht (etwa hinsichtlich der Eröffnung der Bussenverfügung) und sie rügt einfache Gesetzesverletzungen (z.B. der gerichtlichen Fragepflicht). Eine Auseinandersetzung mit den obergerichtlichen Erwägungen (z.B. zur Unzulässigkeit der von ihr vorgebrachten Noven und zur mangelnden Beschwerdebegründung) fehlt. Wenn die Beschwerdeführerin die Vertretungsbefugnis der Dienstabteilung Inkasso bezweifelt, hätte sie dies vor den kantonalen Instanzen vorbringen müssen. Die Beschwerde ist offensichtlich unzulässig und sie enthält offensichtlich keine hinreichende Begründung. Auf sie ist im vereinfachten Verfahren durch das präsidierende Mitglied der Abteilung nicht einzutreten (Art. 117 i.V.m. Art. 108 Abs. 1 lit. a und b BGG ). Angesichts dieses Ergebnisses ist auf die Einholung von Vernehmlassungen - entgegen den Anträgen der Beschwerdeführerin - zu verzichten (Art. 117 i.V.m. 102 Abs. 1 BGG). Mit dem Entscheid in der Sache wird das Gesuch um aufschiebende Wirkung gegenstandslos.</w:t>
      </w:r>
    </w:p>
    <w:p>
      <w:r>
        <w:rPr>
          <w:b/>
        </w:rPr>
        <w:t>E. 4</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