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317/2020 vom 13. Januar 2021</w:t>
      </w:r>
    </w:p>
    <w:p>
      <w:r>
        <w:t>Bundesgericht, 2021-01-13, FR</w:t>
      </w:r>
    </w:p>
    <w:p>
      <w:r>
        <w:rPr>
          <w:b/>
        </w:rPr>
        <w:t xml:space="preserve">Quelle: </w:t>
      </w:r>
      <w:r>
        <w:t>https://mcp.opencaselaw.ch/entscheid/bger_5D_317_2020</w:t>
      </w:r>
    </w:p>
    <w:p>
      <w:r>
        <w:t>FR: TF 5D 317/2020 du 13 janvier 2021</w:t>
      </w:r>
    </w:p>
    <w:p>
      <w:r>
        <w:t>IT: TF 5D 317/2020 del 13 gennaio 2021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6 novembre 2020, le Juge suppléant du district de Sion a levé définitivement, à concurrence des sommes de (en capital) 7'259 fr. 20 et de 65 fr., l'opposition formée par A.________ au commandement de payer qui lui a été notifié à la réquisition de l'État du Valais ( poursuite n° xxxxxx de l'Office des poursuites du district de Sion ). Par décision du 4 décembre 2020, le Juge unique de la Chambre civile du Tribunal cantonal du Valais a déclaré irrecevable le recours déposé par le poursuivi.</w:t>
      </w:r>
    </w:p>
    <w:p>
      <w:r>
        <w:rPr>
          <w:b/>
        </w:rPr>
        <w:t>E. 2</w:t>
      </w:r>
    </w:p>
    <w:p>
      <w:r>
        <w:t>Par écriture mise à la poste le 21 décembre 2020, le poursuivi exerce un recours au Tribunal fédéral contre la décision cantonale. Des observations n'ont pas été requises.</w:t>
      </w:r>
    </w:p>
    <w:p>
      <w:r>
        <w:rPr>
          <w:b/>
        </w:rPr>
        <w:t>E. 3</w:t>
      </w:r>
    </w:p>
    <w:p>
      <w:r>
        <w:t>Compte tenu de l'insuffisance de la valeur litigieuse et de l'absence de question juridique de principe ( art. 74 al. 1 let . bet al. 2 let. a LTF), le présent recours est traité en tant que recours constitutionnel subsidiaire au sens des art. 113 ss LTF .</w:t>
      </w:r>
    </w:p>
    <w:p>
      <w:r>
        <w:rPr>
          <w:b/>
        </w:rPr>
        <w:t>E. 4.1</w:t>
      </w:r>
    </w:p>
    <w:p>
      <w:r>
        <w:t>En l'espèce, l'autorité précédente a retenu que, devant le premier juge, le poursuivi s'est contenté d'indiquer que l'écart entre les impôts cantonaux 2018 et 2019 était beaucoup trop important, qu'il a reconnu n'avoir pas déposé de réclamation contre la décision de taxation, " faute de temps ", et qu'il a exposé derechef les explications données par sa fiduciaire quant au montant dû. Par cette argumentation, l'intéressé ne critique pas les motifs du premier juge; en particulier, il ne conteste pas l'existence d'un titre de mainlevée définitive, ni l'absence de moyens libératoires. Faute de répondre aux " conditions accrues de motivation en procédure de recours " posées par l' art. 321 al. 1 CPC , le recours est dès lors irrecevable.</w:t>
      </w:r>
    </w:p>
    <w:p>
      <w:r>
        <w:rPr>
          <w:b/>
        </w:rPr>
        <w:t>E. 4.2</w:t>
      </w:r>
    </w:p>
    <w:p>
      <w:r>
        <w:t>Le recourant n'invoque aucun moyen de nature constitutionnelle à l'encontre du motif d'irrecevabilité retenu par le magistrat précédent; il n'expose notamment pas en quoi la décision attaquée procéderait d'une application arbitraire de l' art. 321 al. 1 CPC ou contraire à un autre droit constitutionnel ( art. 116 LTF ). Il s'ensuit que le recours doit être écarté d'emblée ( art. 106 al. 2 LTF , par renvoi de l' art. 117 LTF ;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du recourant ( art. 66 al.1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