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313/2020 vom 28. Dezember 2020</w:t>
      </w:r>
    </w:p>
    <w:p>
      <w:r>
        <w:t>Bundesgericht, 2020-12-28, DE</w:t>
      </w:r>
    </w:p>
    <w:p>
      <w:r>
        <w:rPr>
          <w:b/>
        </w:rPr>
        <w:t xml:space="preserve">Quelle: </w:t>
      </w:r>
      <w:r>
        <w:t>https://mcp.opencaselaw.ch/entscheid/bger_5D_313_2020</w:t>
      </w:r>
    </w:p>
    <w:p>
      <w:r>
        <w:t>FR: TF 5D 313/2020 du 28 décembre 2020</w:t>
      </w:r>
    </w:p>
    <w:p>
      <w:r>
        <w:t>IT: TF 5D 313/2020 del 28 dicembre 2020</w:t>
      </w:r>
    </w:p>
    <w:p>
      <w:pPr>
        <w:pStyle w:val="Heading2"/>
      </w:pPr>
      <w:r>
        <w:t>Regeste</w:t>
      </w:r>
    </w:p>
    <w:p>
      <w:r>
        <w:t>Rechtsverzögerung (definitive Rechtsöffnung) | Schuldbetreibungs- und Konkursrecht</w:t>
      </w:r>
    </w:p>
    <w:p>
      <w:pPr>
        <w:pStyle w:val="Heading2"/>
      </w:pPr>
      <w:r>
        <w:t>Erwägungen</w:t>
      </w:r>
    </w:p>
    <w:p>
      <w:r>
        <w:rPr>
          <w:b/>
        </w:rPr>
        <w:t>E. 1</w:t>
      </w:r>
    </w:p>
    <w:p>
      <w:r>
        <w:t>Mit unbegründetem Urteil vom 8. Oktober 2020 erteilte das Bezirksgericht Pfäffikon dem Kanton Zürich gegenüber der Beschwerdeführerin in der Betreibung Nr. 38378 des Betreibungsamtes Mittleres Tösstal definitive Rechtsöffnung für Fr. 3'600.--. Am 23. November 2020 (Postaufgabe) erhob die Beschwerdeführerin Beschwerde wegen Rechtsverzögerung. Sie verlangte, dass das Bezirksgericht angewiesen wird, ihr ohne weiteren Verzug ein begründetes Urteil zuzustellen. Mit Urteil vom 8. Dezember 2020 wies das Obergericht des Kantons Zürich die Beschwerde ab. Gegen dieses Urteil hat die Beschwerdeführerin am 21. Dezember 2020 (Postaufgabe) Beschwerde an die strafrechtliche Abteilung des Bundesgerichts erhoben.</w:t>
      </w:r>
    </w:p>
    <w:p>
      <w:r>
        <w:rPr>
          <w:b/>
        </w:rPr>
        <w:t>E. 2</w:t>
      </w:r>
    </w:p>
    <w:p>
      <w:r>
        <w:t>Zuständig zur Behandlung der vorliegenden Beschwerde ist nicht die strafrechtliche, sondern die II. zivilrechtliche Abteilung (Art. 32 Abs. 1 lit. c des Reglements vom 20. November 2006 für das Bundesgericht, BGerR; SR 173.110.131).</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Das Obergericht hat erwogen, dass zwischen dem Zeitpunkt, in dem die Beschwerdeführerin die Begründung verlangt habe, und dem Zeitpunkt der Beschwerde gut ein Monat liege, und es hat dargelegt, dass darin noch keine Rechtsverzögerung liege. Die Beschwerdeführerin setzt sich damit nicht auseinander. Es genügt den genannten Rügeanforderungen (oben E. 3) nicht, geltend zu machen, es werde Rechtsverzögerung und Rechtsverweigerung betrieben und ihr werde das Recht auf ein begründetes Urteil verweigert. Die Beschwerde enthält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