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5D_30/2024 vom 11. Juni 2024</w:t>
      </w:r>
    </w:p>
    <w:p>
      <w:r>
        <w:t>Bundesgericht, 2024-06-11, DE</w:t>
      </w:r>
    </w:p>
    <w:p>
      <w:r>
        <w:rPr>
          <w:b/>
        </w:rPr>
        <w:t xml:space="preserve">Quelle: </w:t>
      </w:r>
      <w:r>
        <w:t>https://mcp.opencaselaw.ch/entscheid/bger_5D_30_2024</w:t>
      </w:r>
    </w:p>
    <w:p>
      <w:r>
        <w:t>FR: TF 5D_30/2024 du 11 juin 2024</w:t>
      </w:r>
    </w:p>
    <w:p>
      <w:r>
        <w:t>IT: TF 5D_30/2024 del 11 giugno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den summarischen Entscheid über die Bewilligung des Rechtsvorschlages und die Feststellung neuen Vermögens ist kein Rechtsmittel zulässig ( Art. 265a Abs. 1 SchKG ), sondern beim Richter Klage auf Bestreitung oder Feststellung neuen Vermögens zu erheben ( Art. 265a Abs. 4 SchKG ). Einzig in Bezug auf das rechtliche Gehör oder die Kostenfrage kann ausnahmsweise die Beschwerde in Zivilsachen oder die subsidiäre Verfassungsbeschwerde an das Bundesgericht ergriffen werden ( BGE 134 III 524 ; 138 III 44 ; 138 III 130 ; Urteil 5D_194/2016 vom 5. April 2017); vorliegend wäre dies die subsidiäre Verfassungsbeschwerde ( Art. 113 BGG ), weil der für die Beschwerde in Zivilsachen erforderliche Mindeststreitwert von Fr. 30'000.-- nicht erreicht wäre ( Art. 74 Abs. 1 lit. b BGG ). Indes werden weder Gehörs- noch Kostenrügen erhoben. Die Rechtsmittelbelehrung des erstinstanzlichen Entscheides könnte zwar darauf schliessen lassen, dass die Rechtsmittel an das Bundesgericht allgemein offen stehen; indes vermöchte eine falsche Rechtsmittelbelehrung keine nicht bestehenden Rechtsmittel zu schaffen. Weiterungen erübrigen sich insofern, als auf die Beschwerde ohnehin auch aus anderen Gründen nicht eingetreten werden kann (dazu E. 2 und 3).</w:t>
      </w:r>
    </w:p>
    <w:p>
      <w:r>
        <w:rPr>
          <w:b/>
        </w:rPr>
        <w:t>E. 2</w:t>
      </w:r>
    </w:p>
    <w:p>
      <w:r>
        <w:t>Der erstinstanzliche Entscheid wurde dem Beschwerdeführer am 4. Mai 2024 zugestellt. Die 30-tägige Beschwerdefrist von Art. 100 Abs. 1 BGG hätte somit - soweit es ein Rechtsmittel gäbe - am 5. Mai 2024 zu laufen begonnen ( Art. 44 Abs. 1 BGG ) und am 3. Juni 2024 geendet. Die erst am 4. Juni 2024 der Post übergebene Sendung wäre deshalb verspätet.</w:t>
      </w:r>
    </w:p>
    <w:p>
      <w:r>
        <w:rPr>
          <w:b/>
        </w:rPr>
        <w:t>E. 3</w:t>
      </w:r>
    </w:p>
    <w:p>
      <w:r>
        <w:t>Bei der subsidiären Verfassungsbeschwerde könnte einzig die Verletzung verfassungsmässiger Rechte gerügt werden ( Art. 116 BGG ), wofür das strenge Rügeprinzip gilt (Art. 106 Abs. 2 i.V.m. Art. 117 BGG ); mithin wäre anhand der Erwägungen des angefochtenen Entscheids klar und detailliert darzulegen, inwiefern verfassungsmässige Rechte verletzt worden sein sollen, während auf appellatorische Ausführungen nicht eingetreten werden könnte ( BGE 134 II 244 E. 2.2; 140 III 264 E. 2.3; 142 III 364 E. 2.4). Der Beschwerdeführer erhebt indes keine Verfassungsrügen, sondern er macht mit appellatorischen Behauptungen in verschiedener Hinsicht eine falsche Sachverhaltsfeststellung geltend.</w:t>
      </w:r>
    </w:p>
    <w:p>
      <w:r>
        <w:rPr>
          <w:b/>
        </w:rPr>
        <w:t>E. 4</w:t>
      </w:r>
    </w:p>
    <w:p>
      <w:r>
        <w:t>Nach dem Gesagten ist auf die Beschwerde im vereinfachten Verfahren nach Art. 108 Abs. 1 lit. a und b BGG nicht einzutreten.</w:t>
      </w:r>
    </w:p>
    <w:p>
      <w:r>
        <w:rPr>
          <w:b/>
        </w:rPr>
        <w:t>E. 5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