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2/2020 vom 10. September 2020</w:t>
      </w:r>
    </w:p>
    <w:p>
      <w:r>
        <w:t>Bundesgericht, 2020-09-10, DE</w:t>
      </w:r>
    </w:p>
    <w:p>
      <w:r>
        <w:rPr>
          <w:b/>
        </w:rPr>
        <w:t xml:space="preserve">Quelle: </w:t>
      </w:r>
      <w:r>
        <w:t>https://mcp.opencaselaw.ch/entscheid/bger_5D_2_2020</w:t>
      </w:r>
    </w:p>
    <w:p>
      <w:r>
        <w:t>FR: TF 5D 2/2020 du 10 septembre 2020</w:t>
      </w:r>
    </w:p>
    <w:p>
      <w:r>
        <w:t>IT: TF 5D 2/2020 del 10 settembre 2020</w:t>
      </w:r>
    </w:p>
    <w:p>
      <w:pPr>
        <w:pStyle w:val="Heading2"/>
      </w:pPr>
      <w:r>
        <w:t>Regeste</w:t>
      </w:r>
    </w:p>
    <w:p>
      <w:r>
        <w:t>Definitive Rechtsöffnung, unentgeltliche Rechtspflege | Schuldbetreibungs- und Konkursrecht</w:t>
      </w:r>
    </w:p>
    <w:p>
      <w:pPr>
        <w:pStyle w:val="Heading2"/>
      </w:pPr>
      <w:r>
        <w:t>Erwägungen</w:t>
      </w:r>
    </w:p>
    <w:p>
      <w:r>
        <w:rPr>
          <w:b/>
        </w:rPr>
        <w:t>E. 1.1</w:t>
      </w:r>
    </w:p>
    <w:p>
      <w:r>
        <w:t>Da in der vorliegenden vermögensrechtlichen Zwangsvollstreckungssache ( Art. 72 Abs. 2 lit. a BGG ) der Streitwert von Fr. 30'000.-- nicht erreicht ist ( Art. 74 Abs. 1 lit. b BGG ), kann der obergerichtliche Entscheid nur mit Beschwerde in Zivilsachen angefochten werden, wenn sich eine Rechtsfrage von grundsätzlicher Bedeutung stellt ( Art. 74 Abs. 2 lit. a BGG ). Dabei hat die beschwerdeführende Partei zu begründen, inwiefern diese Voraussetzung erfüllt ist ( Art. 42 Abs. 2 Satz 2 BGG ; BGE 136 II 489 E. 2.6 S. 494 f.). Dass sich eine Rechtsfrage von grundsätzlicher Bedeutung im Sinne von Art. 74 Abs. 2 lit. a BGG stellt, wird in der Beschwerde nicht ausgeführt. Demnach ist die Beschwerde in Zivilsachen nicht zulässig. Offen steht damit die eventuell erhobene subsidiäre Verfassungsbeschwerde ( Art. 113 BGG , Art. 114 i.V.m. Art. 75 BGG , Art. 115 BGG und Art. 117 i.V.m. Art. 90 BGG ), sofern die Eingabe die Begründungsanforderungen dieses Rechtsmittels erfüllt.</w:t>
      </w:r>
    </w:p>
    <w:p>
      <w:r>
        <w:rPr>
          <w:b/>
        </w:rPr>
        <w:t>E. 1.2</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2</w:t>
      </w:r>
    </w:p>
    <w:p>
      <w:r>
        <w:t>In der Beschwerde wird als gehörsverletzend gerügt, dass dem Beschwerdeführer eine zu kurze Frist zur Stellungnahme zum Rechtsöffnungsgesuch gewährt worden sei. Unverständlicherweise habe ihm das Richteramt lediglich 5 Tage eingeräumt. Die Auffassung des Obergerichts, dass er insgesamt ausreichend Zeit gehabt habe, sich zur Sache zu äussern oder bei Bedarf einen Rechtsvertreter beizuziehen treffe nicht zu, weil das Richteramt mit der ersten Verfügung klar kommuniziert habe, dass die Frist von 5 Tagen nicht erstreckt werden könne. Der Komplexität des Falles sei damit nicht ausreichend Rechnung getragen worden.</w:t>
      </w:r>
    </w:p>
    <w:p>
      <w:r>
        <w:rPr>
          <w:b/>
        </w:rPr>
        <w:t>E. 2.1</w:t>
      </w:r>
    </w:p>
    <w:p>
      <w:r>
        <w:t>Der Entscheid über das Rechtsöffnungsgesuch ergeht im summarischen Verfahren ( Art. 251 lit. a ZPO ). Gemäss Art. 84 Abs. 2 SchKG gibt der Rechtsöffnungsrichter dem Betriebenen sofort nach Eingang des Gesuchs Gelegenheit zur schriftlichen oder mündlichen Stellungnahme und eröffnet danach innert fünf Tagen den Entscheid. Zwar handelt es sich bei diesen Zeitvorgaben lediglich um Ordnungsvorschriften. Gleichwohl wird damit die gesetzlich vorgesehene Beschleunigung des Verfahrens verdeutlicht ( BGE 138 III 483 E. 3.2.4 S. 488; Urteil 5A_449/2012 vom 20. August 2012 E. 2.1).</w:t>
      </w:r>
    </w:p>
    <w:p>
      <w:r>
        <w:rPr>
          <w:b/>
        </w:rPr>
        <w:t>E. 2.2</w:t>
      </w:r>
    </w:p>
    <w:p>
      <w:r>
        <w:t>Mit seinen Ausführungen übersieht der Beschwerdeführer, dass das Rechtsöffnungsgericht eine in Rechtskraft erwachsene und als Rechtsöffnungstitel vorgelegte Verfügung (vorliegend: Verfügung der SVA Basel-Landschaft, Ausgleichskasse, vom 26. April 2017 über die persönlichen Beiträge des Beschwerdeführers für die Beitragsperiode 1. Januar 2015 bis 30. September 2015) inhaltlich nicht überprüfen darf ( BGE 143 III 564 E. 4.3.1 S. 568; 142 III 78 E. 3.1 S. 80) und dem Schuldner im definitiven Rechtsöffnungsverfahren nur noch ganz eingeschränkte Verteidigungsmittel zur Verfügung stehen (vgl. Art. 81 Abs. 1 SchKG ). Zudem wurde dem Beschwerdeführer vorliegend auf dessen Gesuch hin eine Erstreckung der Frist bis zum 16. Juli 2019 gewährt. Der Einwand des Beschwerdeführers, dass ihm das Richteramt Olten-Gösgen mit der ersten Verfügung kommuniziert habe, dass die Frist von 5 Tagen nicht erstreckt werden könne, verfängt nicht. Der entsprechende Hinweis auf Art. 144 Abs. 1 ZPO befindet sich unter dem mit Fettdruck hervorgehobenen Titel "Rechtsmittel gegen die Verfügung über den Kostenvorschuss" und bezieht sich damit klarerweise nicht auf die dem Beschwerdeführer angesetzte fünftägige (richterliche) Frist für die Stellungnahme zum Rechtsöffnungsbegehren. Die Rüge der Verletzung des rechtlichen Gehörs im Sinne von Art. 29 Abs. 2 BV erweist sich somit als offensichtlich unbegründet.</w:t>
      </w:r>
    </w:p>
    <w:p>
      <w:r>
        <w:rPr>
          <w:b/>
        </w:rPr>
        <w:t>E. 3</w:t>
      </w:r>
    </w:p>
    <w:p>
      <w:r>
        <w:t>Sodann rügt der Beschwerdeführer sinngemäss, das Obergericht habe durch Verweigerung der unentgeltlichen Rechtspflege Art. 29 Abs. 3 BV verletzt. Dabei setzt er sich jedoch mit keiner der beiden selbständigen Begründungen des Obergerichts (Missachtung der Obliegenheit zur Einreichung der ausdrücklich angeforderten Unterlagen bzw. Vorliegen genügender liquider Mittel) rechtsgenüglich auseinander, indem er vor Bundesgericht lediglich unbelegte Behauptungen (er habe die Steuerbehörde gebeten, die vom Obergericht verlangte Bestätigung über seine Einkommens- und Vermögensverhältnisse direkt an das Gericht zu senden bzw. die Einzahlungen auf sein Konto seien auf Unterstützungszahlungen seiner Familie zurückzuführen) aufstellt. Darauf ist nicht einzutreten (Art. 117 i.V.m. Art. 106 Abs. 2 BGG ).</w:t>
      </w:r>
    </w:p>
    <w:p>
      <w:r>
        <w:rPr>
          <w:b/>
        </w:rPr>
        <w:t>E. 4.1</w:t>
      </w:r>
    </w:p>
    <w:p>
      <w:r>
        <w:t>Insgesamt ist auf die Beschwerde in Zivilsachen nicht einzutreten und die subsidiäre Verfassungsbeschwerde abzuweisen, soweit darauf eingetreten werden kann.</w:t>
      </w:r>
    </w:p>
    <w:p>
      <w:r>
        <w:rPr>
          <w:b/>
        </w:rPr>
        <w:t>E. 4.2</w:t>
      </w:r>
    </w:p>
    <w:p>
      <w:r>
        <w:t>Dem Gesuch um unentgeltliche Rechtspflege und Verbeiständung kann angesichts der Aussichtslosigkeit des bundesgerichtlichen Rechtsmittels nicht entsprochen werden ( Art. 64 Abs. 1 BGG ).</w:t>
      </w:r>
    </w:p>
    <w:p>
      <w:r>
        <w:rPr>
          <w:b/>
        </w:rPr>
        <w:t>E. 4.3</w:t>
      </w:r>
    </w:p>
    <w:p>
      <w:r>
        <w:t>Der Beschwerdeführer als unterliegende Partei hat somit die Gerichtskosten zu tragen (Art. 66 Abs. 1 erster Satz BGG). Der (nicht anwaltlich vertretenen) Gegenpartei sind keine ersatzpflichtigen Kosten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