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5D_29/2025 vom 13. Juni 2025</w:t>
      </w:r>
    </w:p>
    <w:p>
      <w:r>
        <w:t>Bundesgericht, 2025-06-13, FR</w:t>
      </w:r>
    </w:p>
    <w:p>
      <w:r>
        <w:rPr>
          <w:b/>
        </w:rPr>
        <w:t xml:space="preserve">Quelle: </w:t>
      </w:r>
      <w:r>
        <w:t>https://mcp.opencaselaw.ch/entscheid/bger_5D_29_2025</w:t>
      </w:r>
    </w:p>
    <w:p>
      <w:r>
        <w:t>FR: TF 5D_29/2025 du 13 juin 2025</w:t>
      </w:r>
    </w:p>
    <w:p>
      <w:r>
        <w:t>IT: TF 5D_29/2025 del 13 giugno 2025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mai 2025 ( art. 44 al. 1 LTF );</w:t>
      </w:r>
    </w:p>
    <w:p>
      <w:r>
        <w:t>que, déposé le</w:t>
      </w:r>
    </w:p>
    <w:p>
      <w:r>
        <w:t>27 mai 2025 , le présent recours est dès lors largement tardif;</w:t>
      </w:r>
    </w:p>
    <w:p>
      <w:r>
        <w:t>que, en conclusion, il doit être déclaré irrecevable par voie de procédure simplifiée ( art. 108 al. 1 let. a LTF );</w:t>
      </w:r>
    </w:p>
    <w:p>
      <w:r>
        <w:t>que la requête d'assistance judiciaire de l'intéressé doit être rejetée en raison de l'irrecevabilité manifeste de son procédé ( art. 64 al. 1 LTF ), ce qui implique sa condamnation aux frais ( art. 66 al.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