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5D_28/2024 vom 3. Juni 2024</w:t>
      </w:r>
    </w:p>
    <w:p>
      <w:r>
        <w:t>Bundesgericht, 2024-06-03, DE</w:t>
      </w:r>
    </w:p>
    <w:p>
      <w:r>
        <w:rPr>
          <w:b/>
        </w:rPr>
        <w:t xml:space="preserve">Quelle: </w:t>
      </w:r>
      <w:r>
        <w:t>https://mcp.opencaselaw.ch/entscheid/bger_5D_28_2024</w:t>
      </w:r>
    </w:p>
    <w:p>
      <w:r>
        <w:t>FR: TF 5D_28/2024 du 3 juin 2024</w:t>
      </w:r>
    </w:p>
    <w:p>
      <w:r>
        <w:t>IT: TF 5D_28/2024 del 3 giugno 2024</w:t>
      </w:r>
    </w:p>
    <w:p>
      <w:pPr>
        <w:pStyle w:val="Heading2"/>
      </w:pPr>
      <w:r>
        <w:t>Erwägungen</w:t>
      </w:r>
    </w:p>
    <w:p>
      <w:r>
        <w:rPr>
          <w:b/>
        </w:rPr>
        <w:t>E. 1</w:t>
      </w:r>
    </w:p>
    <w:p>
      <w:r>
        <w:t>Der Streitwert beträgt weniger als Fr. 30'000.-- ( Art. 74 Abs. 1 lit. b BGG ). Somit steht nicht die Beschwerde in Zivilsachen, sondern die subsidiäre Verfassungsbeschwerde zur Verfügung ( Art. 113 BGG ).</w:t>
      </w:r>
    </w:p>
    <w:p>
      <w:r>
        <w:rPr>
          <w:b/>
        </w:rPr>
        <w:t>E. 2</w:t>
      </w:r>
    </w:p>
    <w:p>
      <w:r>
        <w:t>Die Beschwerde scheitert bereits daran, dass sie entgegen der Vorgabe in Art. 42 Abs. 1 BGG kein Rechtsbegehren enthält.</w:t>
      </w:r>
    </w:p>
    <w:p>
      <w:r>
        <w:rPr>
          <w:b/>
        </w:rPr>
        <w:t>E. 3</w:t>
      </w:r>
    </w:p>
    <w:p>
      <w:r>
        <w:t>Im Übrigen fehlt es der Beschwerde aber auch an einer hinreichenden Beschwerdebegründung:</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E. 2.4). Weil das Obergericht auf das Rechtsmittel des Beschwerdeführers nicht eingetreten ist, kann Anfechtungsgegenstand grundsätzlich nur die Frage bilden, ob es zu Recht einen Nichteintretensentscheid gefällt hat ( BGE 135 II 38 E. 1.2; 139 II 233 E. 3.2). Darauf haben sich die erwähnten Verfassungsrügen zu beziehen.</w:t>
      </w:r>
    </w:p>
    <w:p>
      <w:r>
        <w:t>Dahingehende Verfassungsrügen sind nirgends auszumachen. Der Beschwerdeführer bezichtigt das Obergericht des Betruges, des Diebstahls und des Amtsmissbrauches und hält fest, dass ihm der Beschwerdegegner einen Schaden von Fr. 300'000.-- verursacht habe, wobei er sich weitschweifig zu den angeblichen Schäden, zum damaligen Gutachten und zu den Gerichtsverfahren äussert. All dies geht, soweit es sich nicht ohnehin um blosse Polemik handelt, an der Sache vorbei.</w:t>
      </w:r>
    </w:p>
    <w:p>
      <w:r>
        <w:rPr>
          <w:b/>
        </w:rPr>
        <w:t>E. 4</w:t>
      </w:r>
    </w:p>
    <w:p>
      <w:r>
        <w:t>Nach dem Gesagten erweist sich die Beschwerde - abgesehen davon, dass es an einem Begehren in der Sache mangelt -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