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28/2020 vom 12. Februar 2020</w:t>
      </w:r>
    </w:p>
    <w:p>
      <w:r>
        <w:t>Bundesgericht, 2020-02-12, FR</w:t>
      </w:r>
    </w:p>
    <w:p>
      <w:r>
        <w:rPr>
          <w:b/>
        </w:rPr>
        <w:t xml:space="preserve">Quelle: </w:t>
      </w:r>
      <w:r>
        <w:t>https://mcp.opencaselaw.ch/entscheid/bger_5D_28_2020</w:t>
      </w:r>
    </w:p>
    <w:p>
      <w:r>
        <w:t>FR: TF 5D 28/2020 du 12 février 2020</w:t>
      </w:r>
    </w:p>
    <w:p>
      <w:r>
        <w:t>IT: TF 5D 28/2020 del 12 febbraio 2020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2 août 2019, la Juge de paix du district de l'Ouest lausannois a levé définitivement l'opposition formée par A.________ au commandement de payer qui lui a été notifié à la réquisition de l'Etat de Vaud ( poursuite ordinaire n° x'xxx'xxx de l'Office des poursuites du district de l'Ouest lausannois ). Statuant le 30 décembre 2019, la Cour des poursuites et faillites du Tribunal cantonal du canton de Vaud a déclaré irrecevable le recours du poursuivi.</w:t>
      </w:r>
    </w:p>
    <w:p>
      <w:r>
        <w:rPr>
          <w:b/>
        </w:rPr>
        <w:t>E. 2</w:t>
      </w:r>
    </w:p>
    <w:p>
      <w:r>
        <w:t>Par écriture expédiée le 7 février 2020, le poursuivi exerce un recours au Tribunal fédéral contre l'arrêt cantonal.</w:t>
      </w:r>
    </w:p>
    <w:p>
      <w:r>
        <w:rPr>
          <w:b/>
        </w:rPr>
        <w:t>E. 3</w:t>
      </w:r>
    </w:p>
    <w:p>
      <w:r>
        <w:t>Vu l'insuffisance de la valeur litigieuse (50 fr.) et l'absence de question juridique de principe ( art. 74 al. 1 let . bet al. 2 let. a LTF), le présent recours doit être traité en tant que recours constitutionnel subsidiaire au sens des art. 113 ss LTF . Il apparaît superflu d'examiner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la cour cantonale a retenu que le poursuivi formulait de nombreuses récriminations, mais aucune critique reconnaissable et compréhensible à l'encontre du prononcé attaqué; en particulier, il n'a pas contesté les motifs topiques du premier juge déduits de l'existence d'une décision fiscale assimilée à un jugement exécutoire au sens de l' art. 80 al. 1 LP , valant ainsi titre de mainlevée définitive.</w:t>
      </w:r>
    </w:p>
    <w:p>
      <w:r>
        <w:rPr>
          <w:b/>
        </w:rPr>
        <w:t>E. 4.2</w:t>
      </w:r>
    </w:p>
    <w:p>
      <w:r>
        <w:t>L'acte de recours ne comporte pas le moindre grief intelligible et de nature constitutionnelle ( art. 116 LTF ) tendant à démontrer en quoi les motifs de l'autorité précédente seraient arbitraires ou contraires à d'autres droits fondamentaux ( art. 106 al. 2 et 117 LTF ). Il s'ensuit que le recours doit être écarté d'emblée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du recourant ( art. 66 al. 1 LTF ). Le recourant est expressément avisé que toute ultérieure écriture du même style sera dorénavant classée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