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5D_277/2020 vom 28. Oktober 2020</w:t>
      </w:r>
    </w:p>
    <w:p>
      <w:r>
        <w:t>Bundesgericht, 2020-10-28, DE</w:t>
      </w:r>
    </w:p>
    <w:p>
      <w:r>
        <w:rPr>
          <w:b/>
        </w:rPr>
        <w:t xml:space="preserve">Quelle: </w:t>
      </w:r>
      <w:r>
        <w:t>https://mcp.opencaselaw.ch/entscheid/bger_5D_277_2020</w:t>
      </w:r>
    </w:p>
    <w:p>
      <w:r>
        <w:t>FR: TF 5D_277/2020 du 28 octobre 2020</w:t>
      </w:r>
    </w:p>
    <w:p>
      <w:r>
        <w:t>IT: TF 5D_277/2020 del 28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für die Beschwerde in Zivilsachen erforderliche Mindeststreitwert von Fr. 30'000.-- ist nicht erreicht ( Art. 74 Abs. 1 lit. b BGG ), weshalb nur die subsidiäre Verfassungsbeschwerde offen steht ( Art. 113 BGG ). Mit dieser kann die Verletzung verfassungsmässiger Rechte gerügt werden ( Art. 116 BGG ), wofür die strenge Rügepflicht gilt (Art. 106 Abs. 2 i.V.m. Art. 117 Abs. 1 BGG ). Im Übrigen hat die Beschwerde auch ein Rechtsbegehren zu enthalten ( Art. 42 Abs. 1 BGG ).</w:t>
      </w:r>
    </w:p>
    <w:p>
      <w:r>
        <w:rPr>
          <w:b/>
        </w:rPr>
        <w:t>E. 2</w:t>
      </w:r>
    </w:p>
    <w:p>
      <w:r>
        <w:t>Die Beschwerde enthält weder ein Rechtsbegehren noch ansatzweise eine Begründung, inwiefern der obergerichtliche Nichteintretensentscheid gegen verfassungsmässige Rechte verstossen soll. Vielmehr werden gegen den Beschwerdegegner Betrugsvorwürfe erhoben und verschiedene Straf- und Verfassungsbestimmungen sowie Bestimmungen anderer Gesetze aufgelistet, welche angeblich verletzt sein sollen, und es wird festgehalten, dass die psychotisch-schizophrenen, dekadenten, persönlichkeitsverletzenden, entwürdigenden, korrupten und kriminellen Massnahmen des Kantons- wie Obergerichtes nicht angenommen und akzeptiert werden müssten.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