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5D_270/2020 vom 6. November 2020</w:t>
      </w:r>
    </w:p>
    <w:p>
      <w:r>
        <w:t>Bundesgericht, 2020-11-06, DE</w:t>
      </w:r>
    </w:p>
    <w:p>
      <w:r>
        <w:rPr>
          <w:b/>
        </w:rPr>
        <w:t xml:space="preserve">Quelle: </w:t>
      </w:r>
      <w:r>
        <w:t>https://mcp.opencaselaw.ch/entscheid/bger_5D_270_2020</w:t>
      </w:r>
    </w:p>
    <w:p>
      <w:r>
        <w:t>FR: TF 5D_270/2020 du 6 novembre 2020</w:t>
      </w:r>
    </w:p>
    <w:p>
      <w:r>
        <w:t>IT: TF 5D_270/2020 del 6 novembre 2020</w:t>
      </w:r>
    </w:p>
    <w:p>
      <w:pPr>
        <w:pStyle w:val="Heading2"/>
      </w:pPr>
      <w:r>
        <w:t>Erwägungen</w:t>
      </w:r>
    </w:p>
    <w:p>
      <w:r>
        <w:rPr>
          <w:b/>
        </w:rPr>
        <w:t>E. 1</w:t>
      </w:r>
    </w:p>
    <w:p>
      <w:r>
        <w:t>Mit Verfügung vom 2. September 2020 erteilte das Bezirksgericht Höfe dem Beschwerdegegner gegenüber der Beschwerdeführerin in der Betreibung Nr. xxx des Betreibungsamtes Höfe definitive Rechtsöffnung für Fr. 1'640.-- nebst Zins.</w:t>
      </w:r>
    </w:p>
    <w:p>
      <w:r>
        <w:t>Dagegen erhob die Beschwerdeführerin am 11. September 2020 Beschwerde beim Kantonsgericht Schwyz. Mit Verfügung vom 2. Oktober 2020 trat das Kantonsgericht auf die Beschwerde mangels hinreichender Begründung nicht ein. Auf das Gesuch um unentgeltliche Rechtspflege trat es mangels Darlegung der entsprechenden Voraussetzungen nicht ein. Es auferlegte der Beschwerdeführerin die Gerichtskosten von Fr. 300.--.</w:t>
      </w:r>
    </w:p>
    <w:p>
      <w:r>
        <w:t>Gegen diese Verfügung hat die Beschwerdeführerin am 12. Oktober 2020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nicht darauf ein, dass sie ihre Beschwerde an das Kantonsgericht ungenügend begründet hat, und sie legt nicht dar, inwieweit gegen verfassungsmässige Rechte verstossen worden sein soll. Stattdessen macht sie geltend, sie habe - entgegen den Erwägungen des Bezirksgerichts - eine Gesuchsantwort eingereicht, sie beruft sich sinngemäss auf Verrechnung und sie macht geltend, sie habe das Bezirksgericht aufgefordert, weitere Akten beizuziehen. All dies ist jedoch nicht Thema des bundesgerichtlichen Verfahrens, welches auf die Frage beschränkt ist, ob das Kantonsgericht gegen verfassungsmässige Rechte verstossen hat, indem es auf die kantonale Beschwerde nicht eingetreten ist. Keine Auseinandersetzung mit der angefochtenen Verfügung stellt es sodann dar, wenn die Beschwerdeführerin keinerlei Kostenauferlegung akzeptieren will. Nicht zuständig ist das Bundesgericht zur Entgegennahme einer Strafanzeige gegen den Beschwerdegegner und nicht Gegenstand des vorliegenden Verfahrens ist eine wohl gegen den Kanton Schwyz gerichtete Schadenersatzforderung.</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 Eine Parteientschädigung an die Beschwerdeführerin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