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5D_26/2025 vom 19. Mai 2025</w:t>
      </w:r>
    </w:p>
    <w:p>
      <w:r>
        <w:t>Bundesgericht, 2025-05-19, DE</w:t>
      </w:r>
    </w:p>
    <w:p>
      <w:r>
        <w:rPr>
          <w:b/>
        </w:rPr>
        <w:t xml:space="preserve">Quelle: </w:t>
      </w:r>
      <w:r>
        <w:t>https://mcp.opencaselaw.ch/entscheid/bger_5D_26_2025</w:t>
      </w:r>
    </w:p>
    <w:p>
      <w:r>
        <w:t>FR: TF 5D_26/2025 du 19 mai 2025</w:t>
      </w:r>
    </w:p>
    <w:p>
      <w:r>
        <w:t>IT: TF 5D_26/2025 del 19 maggio 2025</w:t>
      </w:r>
    </w:p>
    <w:p>
      <w:pPr>
        <w:pStyle w:val="Heading2"/>
      </w:pPr>
      <w:r>
        <w:t>Erwägungen</w:t>
      </w:r>
    </w:p>
    <w:p>
      <w:r>
        <w:rPr>
          <w:b/>
        </w:rPr>
        <w:t>E. 1</w:t>
      </w:r>
    </w:p>
    <w:p>
      <w:r>
        <w:t>Angefochten ist der kantonal letztinstanzliche Entscheid betreffend vorläufige Eintragung eines Bauhandwerkerpfandrechts. Weil der für die Beschwerde in Zivilsachen erforderliche Mindeststreitwert von Fr. 30'000.-- ( Art. 74 Abs. 1 lit. b BGG ) nicht erreicht wird, steht nur die subsidiäre Verfassungsbeschwerde zur Verfügung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Die Beschwerdeführerin ruft kein verfassungsmässiges Recht an, welches verletzt sein soll, und es werden auch keine sinngemässen Verfassungsverletzungen geltend gemacht. Ohnehin könnte aber den Vorbringen, selbst wenn sie im Rahmen von Verfassungsrügen gemacht worden wären, kein Erfolg beschieden sein: Die Behauptung der Beschwerdeführerin, sie habe das Gesuch am 14. März 2025 eingereicht, trifft nicht zu, erfolgte doch nach den Feststellungen im erstinstanzlichen Entscheid die Postaufgabe erst am 17. März 2025. Im Übrigen wurde (soweit ersichtlich) nie eine superprovisorische Eintragung angeordnet, welche das Obergericht hätte bestätigen können, so dass die Frist gemäss Art. 839 Abs. 2 ZGB im Zeitpunkt des oberinstanzlichen Verfahrens erst recht verwirkt war, denn massgeblich zu deren Wahrung ist die Eintragung im Grundbuch (d.h. die Einschreibung im Tagebuch, Art. 839 Abs. 2 i.V.m. Art. 972 Abs. 2 ZGB ), nicht die Gesuchseinreichung. An der Verwirkung könnte auch die Behauptung, es seien im Januar und Februar 2025 noch Nacharbeiten erfolgt, nichts ändern, selbst wenn sie im Rahmen von Verfassungsrügen erfolgen würde, denn im bundesgerichtlichen Verfahren sind grundsätzlich keine neue Tatsachenvorbringen zulässig ( Art. 99 Abs. 1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