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25/2020 vom 10. Februar 2020</w:t>
      </w:r>
    </w:p>
    <w:p>
      <w:r>
        <w:t>Bundesgericht, 2020-02-10, DE</w:t>
      </w:r>
    </w:p>
    <w:p>
      <w:r>
        <w:rPr>
          <w:b/>
        </w:rPr>
        <w:t xml:space="preserve">Quelle: </w:t>
      </w:r>
      <w:r>
        <w:t>https://mcp.opencaselaw.ch/entscheid/bger_5D_25_2020</w:t>
      </w:r>
    </w:p>
    <w:p>
      <w:r>
        <w:t>FR: TF 5D 25/2020 du 10 février 2020</w:t>
      </w:r>
    </w:p>
    <w:p>
      <w:r>
        <w:t>IT: TF 5D 25/2020 del 10 febbraio 2020</w:t>
      </w:r>
    </w:p>
    <w:p>
      <w:pPr>
        <w:pStyle w:val="Heading2"/>
      </w:pPr>
      <w:r>
        <w:t>Regeste</w:t>
      </w:r>
    </w:p>
    <w:p>
      <w:r>
        <w:t>Definitive Rechtsöffnung | Schuldbetreibungs- und Konkursrecht</w:t>
      </w:r>
    </w:p>
    <w:p>
      <w:pPr>
        <w:pStyle w:val="Heading2"/>
      </w:pPr>
      <w:r>
        <w:t>Erwägungen</w:t>
      </w:r>
    </w:p>
    <w:p>
      <w:r>
        <w:rPr>
          <w:b/>
        </w:rPr>
        <w:t>E. 1</w:t>
      </w:r>
    </w:p>
    <w:p>
      <w:r>
        <w:t>Mit Urteil vom 29. November 2019 erteilte das Bezirksgericht Winterthur den Beschwerdegegnern gegenüber dem Beschwerdeführer in der Betreibung Nr. xxx des Betreibungsamtes Winterthur-Stadt - für Staats- und Gemeindesteuern 2018 - definitive Rechtsöffnung für Fr. 110.60 nebst Zins und Kosten. Gegen dieses Urteil erhob der Beschwerdeführer am 11. Januar 2020 Beschwerde. Mit Urteil vom 29. Januar 2020 wies das Obergericht des Kantons Zürich die Beschwerde ab. Am 5. Februar 2020 hat der Beschwerdeführer Beschwerde an das Bundesgericht erhoben.</w:t>
      </w:r>
    </w:p>
    <w:p>
      <w:r>
        <w:rPr>
          <w:b/>
        </w:rPr>
        <w:t>E. 2</w:t>
      </w:r>
    </w:p>
    <w:p>
      <w:r>
        <w:t>Aufgrund des tiefen Streitwerts ( Art. 74 Abs. 1 lit. b BGG ) und mangels Vorliegens einer Rechtsfrage von grundsätzlicher Bedeutung ( Art. 74 Abs. 2 lit. a BGG ) ist gegen den angefochtenen Entscheid nur die subsidiäre Verfassungsbeschwerde zulässig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bringt vor, er habe die Steuern für das Jahr 2018 bezahlt. Er habe dazu bis am 31. Dezember 2019 Zeit gehabt. Das Steueramt wolle die Steuern zweimal einfordern. Der Beschwerdeführer spricht in diesem Zusammenhang von Willkür. Allerdings hat er die entsprechenden Argumente bereits vor Obergericht vorgebracht. Auf die entsprechenden Erwägungen des Obergerichts (aus dem Novenverbot folgende Unbeachtlichkeit der Behauptung, die Steuern bezahlt zu haben; ohnehin keine vollständige Bezahlung der Forderung; Ausführungen zu den Zahlungsfristen in der kantonalen Steuergesetzgebung) geht der Beschwerdeführer mit keinem Wort ein. Die Beschwerde ist damit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