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5D_25/2008 vom 2. Juli 2008</w:t>
      </w:r>
    </w:p>
    <w:p>
      <w:r>
        <w:t>Bundesgericht, 2008-07-02, DE</w:t>
      </w:r>
    </w:p>
    <w:p>
      <w:r>
        <w:rPr>
          <w:b/>
        </w:rPr>
        <w:t xml:space="preserve">Quelle: </w:t>
      </w:r>
      <w:r>
        <w:t>https://mcp.opencaselaw.ch/entscheid/bger_5D_25_2008</w:t>
      </w:r>
    </w:p>
    <w:p>
      <w:r>
        <w:t>FR: TF 5D_25/2008 du 2 juillet 2008</w:t>
      </w:r>
    </w:p>
    <w:p>
      <w:r>
        <w:t>IT: TF 5D_25/2008 del 2 luglio 2008</w:t>
      </w:r>
    </w:p>
    <w:p>
      <w:pPr>
        <w:pStyle w:val="Heading2"/>
      </w:pPr>
      <w:r>
        <w:t>Erwägungen</w:t>
      </w:r>
    </w:p>
    <w:p>
      <w:r>
        <w:rPr>
          <w:b/>
        </w:rPr>
        <w:t>E. 1</w:t>
      </w:r>
    </w:p>
    <w:p>
      <w:r>
        <w:t>Angefochten ist ein Beschwerdeentscheid über eine Abschreibungsverfügung, welche in Folge eines Vergleichs über eine sachenrechtliche Streitigkeit ergangen ist. Es handelt sich dabei um einen kantonal letztinstanzlichen Entscheid in Zivilsachen ( Art. 72 Abs. 1 und Art. 75 Abs. 1 BGG ), welcher einen Endentscheid i.S.v. Art. 90 BGG darstellt.</w:t>
      </w:r>
    </w:p>
    <w:p>
      <w:r>
        <w:t>Ein Streitwert wird im vorinstanzlichen Entscheid entgegen Art. 112 Abs. 1 lit. d BGG nicht angegeben. Im erstinstanzlichen Verfahren wurde der Verkehrswert des Atelierraums auf Fr. 48'000.-- beziffert. Obwohl die Eingabe als subsidiäre Verfassungsbeschwerde bezeichnet wird, ist sie somit als Beschwerde in Zivilsachen entgegenzunehmen ( Art. 74 Abs. 1 lit. b BGG ).</w:t>
      </w:r>
    </w:p>
    <w:p>
      <w:r>
        <w:t>Das Bundesgericht prüft die Verletzung von Grundrechten nur insofern, als eine solche Rüge in der Beschwerde vorgebracht und begründet worden ist ( Art. 106 Abs. 2 BGG ).</w:t>
      </w:r>
    </w:p>
    <w:p>
      <w:r>
        <w:rPr>
          <w:b/>
        </w:rPr>
        <w:t>E. 2</w:t>
      </w:r>
    </w:p>
    <w:p>
      <w:r>
        <w:t>Das Obergericht erwog, dass seitens des Beschwerdeführers keine verbindliche, fristgerechte Willensklärung i.S. des Vergleichs vom 1. März 2007 vorliege. Am 8. Juni 2007 habe er lediglich eine bedingte Erklärung abgegeben, und auch aus dem Schreiben vom 29. Juni 2007 gehe keine verbindliche Erklärung hervor. Auch wenn betreffend den Atelierraum keine Baubewilligung vorliege, könne ein Kaufvertrag gültig abgeschlossen werden. Es sei den Parteien zum Zeitpunkt des Abschlusses des Vergleichs bekannt gewesen, dass keine Baubewilligung vorliege; der Beschwerdeführer habe das tatsächliche Vorliegen einer solchen Bewilligung auch nicht zur Voraussetzung des Vergleichsabschlusses gemacht. Daher sei das Verfahren zu Recht abgeschrieben worden, und es liege keine Rechtsverweigerung oder -verzögerung vor.</w:t>
      </w:r>
    </w:p>
    <w:p>
      <w:r>
        <w:t>Ausserdem sei dem Beschwerdeführer seit der Zustellung des Verkehrswertgutachtens Ende Mai 2007 genügend Zeit gegeben worden, sich gemäss Ziff. 2 des Vergleichs zu äussern; auch sei einem Fristverlängerungsgesuch entsprochen worden. Weiter habe der Beschwerdeführer die Ansetzung einer neuen Frist lediglich für den Fall beantragt, dass die Zusatzfragen vom Gericht zugelassen würden, was dieses nicht getan habe. Daher sei auch eine Verletzung des rechtlichen Gehörs nicht ersichtlich. Aufgrund des klaren Wortlauts des Vergleichs komme dessen Ziff. 3 zur Anwendung, da der Beschwerdeführer die gemäss Ziff. 2 verlangte verbindliche Erklärung nicht abgegeben habe.</w:t>
      </w:r>
    </w:p>
    <w:p>
      <w:r>
        <w:rPr>
          <w:b/>
        </w:rPr>
        <w:t>E. 3</w:t>
      </w:r>
    </w:p>
    <w:p>
      <w:r>
        <w:t>Der Beschwerdeführer macht geltend, der Gerichtspräsident habe ihm nach Abweisung des Gesuchs um das Stellen von Zusatzfragen nicht die Gelegenheit gegeben, sich zum Erwerb des Atelierraums zu äussern, sondern habe das Verfahren abgeschrieben, sodass eine Rechtsverweigerung (und damit ein Verstoss gegen Art. 29 Abs. 1 BV ) sowie eine Verletzung des rechtlichen Gehörs (und damit ein Verstoss gegen Art. 29 Abs. 2 BV ) vorliege.</w:t>
      </w:r>
    </w:p>
    <w:p>
      <w:r>
        <w:t>Dabei verkennt der Beschwerdeführer, dass das erstinstanzliche Gericht durchaus tätig geworden ist, wenn auch nicht im von ihm gewünschten Sinne. Weshalb diese Vorgehensweise, welche von der Vorinstanz geschützt wurde, eine Rechtsverweigerung darstellen soll, ist daher nicht ersichtlich.</w:t>
      </w:r>
    </w:p>
    <w:p>
      <w:r>
        <w:t>Ebenfalls wird nicht begründet und ist nicht ersichtlich, weshalb eine Verletzung von Art. 29 Abs. 2 BV vorliegen soll, wenn dem Beschwerdeführer nicht gestattet wurde, nach Ablauf der bereits erstreckten Frist Zusatzfragen zu stellen, zumal der Vergleich einen klaren Wortlaut aufweist.</w:t>
      </w:r>
    </w:p>
    <w:p>
      <w:r>
        <w:rPr>
          <w:b/>
        </w:rPr>
        <w:t>E. 4</w:t>
      </w:r>
    </w:p>
    <w:p>
      <w:r>
        <w:t>Sodann führt der Beschwerdeführer an, er habe mit seinen Erklärungen vom 8. und 29. Juni 2007 grundsätzlich die Fortführung des Verfahrens sowie die Einräumung einer neuen Frist beantragt, sodass von einem Stillschweigen i.S.v. Ziff. 2 des Vergleichs keine Rede sein könne. Da nur ein klarer und vollständiger Vergleich den Prozess zu beenden vermöge, er sich jedoch nie gegen den Erwerb des Atelierraumes ausgesprochen habe, stelle der Abschreibungsbeschluss eine willkürliche Anwendung von Art. 207 ZPO /BE dar, weshalb der Vergleich nicht klar und vollständig sein soll, legt der Beschwerdeführer jedoch nicht dar (s. bereits oben, E. 3). Auch ist nicht ersichtlich, worin eine willkürliche Anwendung von Art. 207 ZPO /BE liegen soll. Aus den weiteren Ausführungen zu den angeblich massgeblichen prozessrechtlichen Bestimmungen ( Art. 270, Art. 175 ff. und Art. 187 ff. ZPO /BE) geht nicht hervor, ob und weshalb eine Verletzung eines verfassungsmässigen Rechts durch die Vorinstanz gerügt wird.</w:t>
      </w:r>
    </w:p>
    <w:p>
      <w:r>
        <w:rPr>
          <w:b/>
        </w:rPr>
        <w:t>E. 5</w:t>
      </w:r>
    </w:p>
    <w:p>
      <w:r>
        <w:t>In den übrigen Ausführungen rügt der Beschwerdeführer keine Verletzung eines verfassungsmässigen Rechts. Vielmehr erschöpft sich die weitere Beschwerdebegründung in typischer appellatorischer und damit unzulässiger Kritik am angefochtenen Entscheid.</w:t>
      </w:r>
    </w:p>
    <w:p>
      <w:r>
        <w:rPr>
          <w:b/>
        </w:rPr>
        <w:t>E. 6</w:t>
      </w:r>
    </w:p>
    <w:p>
      <w:r>
        <w:t>Insgesamt ist somit auf die Beschwerde mangels Substanziierung nicht einzutreten ( Art. 106 Abs. 2 BGG ). Demgemäss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