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5D_24/2024 vom 10. Mai 2024</w:t>
      </w:r>
    </w:p>
    <w:p>
      <w:r>
        <w:t>Bundesgericht, 2024-05-10, DE</w:t>
      </w:r>
    </w:p>
    <w:p>
      <w:r>
        <w:rPr>
          <w:b/>
        </w:rPr>
        <w:t xml:space="preserve">Quelle: </w:t>
      </w:r>
      <w:r>
        <w:t>https://mcp.opencaselaw.ch/entscheid/bger_5D_24_2024</w:t>
      </w:r>
    </w:p>
    <w:p>
      <w:r>
        <w:t>FR: TF 5D_24/2024 du 10 mai 2024</w:t>
      </w:r>
    </w:p>
    <w:p>
      <w:r>
        <w:t>IT: TF 5D_24/2024 del 10 maggio 2024</w:t>
      </w:r>
    </w:p>
    <w:p>
      <w:pPr>
        <w:pStyle w:val="Heading2"/>
      </w:pPr>
      <w:r>
        <w:t>Erwägungen</w:t>
      </w:r>
    </w:p>
    <w:p>
      <w:r>
        <w:rPr>
          <w:b/>
        </w:rPr>
        <w:t>E. 1</w:t>
      </w:r>
    </w:p>
    <w:p>
      <w:r>
        <w:t>Angefochten ist ein kantonal letztinstanzlicher Entscheid im Zusammenhang mit der zufolge gewährter unentgeltlicher Rechtspflege vorschussweise erfolgten Auszahlung einer Parteientschädigung, welche materiell vom Beschwerdeführer geschuldet ist, durch die Gerichtskasse und der damit verbundenen Legalzession nach Art. 122 Abs. 2 ZPO . Weil der Streitwert den für die Beschwerde in Zivilsachen erforderlichen Mindeststreitwert von Fr. 30'000.-- nicht erreicht ( Art. 74 Abs. 1 lit. b BGG ), steht nicht dieses Rechtsmittel, sondern die subsidiäre Verfassungsbeschwerde zur Verfügung ( Art. 113 BGG ).</w:t>
      </w:r>
    </w:p>
    <w:p>
      <w:r>
        <w:rPr>
          <w:b/>
        </w:rPr>
        <w:t>E. 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134 II 244 E. 2.2; 140 III 264 E. 2.3; 142 III 364 E. 2.4).</w:t>
      </w:r>
    </w:p>
    <w:p>
      <w:r>
        <w:rPr>
          <w:b/>
        </w:rPr>
        <w:t>E. 3</w:t>
      </w:r>
    </w:p>
    <w:p>
      <w:r>
        <w:t>In der Beschwerde werden weder explizit noch der Sache nach Verfassungsrügen erhoben. Die Ausführungen würden nicht einmal den allgemeinen Begründungsanforderungen von Art. 42 Abs. 2 BGG genügen, denn der Beschwerdeführer beschränkt sich auf allgemeine Polemik und Korruptionsvorwürfe gegenüber den Gerichtsinstanzen.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