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5D_240/2017 vom 29. November 2017</w:t>
      </w:r>
    </w:p>
    <w:p>
      <w:r>
        <w:t>Bundesgericht, 2017-11-29, DE</w:t>
      </w:r>
    </w:p>
    <w:p>
      <w:r>
        <w:rPr>
          <w:b/>
        </w:rPr>
        <w:t xml:space="preserve">Quelle: </w:t>
      </w:r>
      <w:r>
        <w:t>https://mcp.opencaselaw.ch/entscheid/bger_5D_240_2017</w:t>
      </w:r>
    </w:p>
    <w:p>
      <w:r>
        <w:t>FR: TF 5D_240/2017 du 29 novembre 2017</w:t>
      </w:r>
    </w:p>
    <w:p>
      <w:r>
        <w:t>IT: TF 5D_240/2017 del 29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Rechtsöffnungsentscheid mit einem unter Fr. 30'000.-- liegenden Streitwert; mithin steht als Rechtsmittel nicht die Beschwerde in Zivilsachen, sondern die subsidiäre Verfassungsbeschwerde offen ( Art. 72 Abs. 2 lit. a, Art. 74 Abs. 1 lit. b, Art. 75 Abs. 1 und Art. 113 BGG ).</w:t>
      </w:r>
    </w:p>
    <w:p>
      <w:r>
        <w:rPr>
          <w:b/>
        </w:rPr>
        <w:t>E. 2</w:t>
      </w:r>
    </w:p>
    <w:p>
      <w:r>
        <w:t>Mit der subsidiären Verfassungsbeschwerde kann einzig die Verletzung verfassungsmässiger Rechte gerügt werden ( Art. 116 BGG ), wofür das strenge Rügeprinzip gilt ( Art. 106 Abs. 2 und Art. 117 BGG ).</w:t>
      </w:r>
    </w:p>
    <w:p>
      <w:r>
        <w:t>Es wird weder eine Verletzung verfassungsmässiger Rechte geltend gemacht noch wird inhaltlich eine entsprechende Rüge erhoben; vielmehr beschränkt sich der Beschwerdeführer auf appellatorische Vorbringen (er sei nicht Kunde irgendwelcher ihm zugeordneter Gerichte; die sogenannte Gläubigerin habe ohne sein Wissen eine Forderung aus einer längst bezahlten Forderung gemacht; er sei Kleinrentner unter dem Existenzminimum; er könne der ihm auferlegten Schuld nicht zustimmen; er werde doppelt bestraft, indem man eine getilgte Forderung wieder aufleben lasse), wie sie zur Begründung von Verfassungsverletzungen unzureichend sind (vgl. BGE 135 III 232 E. 1.2 S. 234 ; 139 I 229 E. 2.2 S. 232 ; 141 I 36 E. 1.3 S. 41; 142 III 364 E. 2.4 S. 368).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das präsidierende Mitglied im vereinfachten Verfahren entscheidet ( Art. 108 Abs. 1 lit. b BGG ).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