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5D_23/2025 vom 1. Mai 2025</w:t>
      </w:r>
    </w:p>
    <w:p>
      <w:r>
        <w:t>Bundesgericht, 2025-05-01, DE</w:t>
      </w:r>
    </w:p>
    <w:p>
      <w:r>
        <w:rPr>
          <w:b/>
        </w:rPr>
        <w:t xml:space="preserve">Quelle: </w:t>
      </w:r>
      <w:r>
        <w:t>https://mcp.opencaselaw.ch/entscheid/bger_5D_23_2025</w:t>
      </w:r>
    </w:p>
    <w:p>
      <w:r>
        <w:t>FR: TF 5D_23/2025 du 1 mai 2025</w:t>
      </w:r>
    </w:p>
    <w:p>
      <w:r>
        <w:t>IT: TF 5D_23/2025 del 1 maggio 2025</w:t>
      </w:r>
    </w:p>
    <w:p>
      <w:pPr>
        <w:pStyle w:val="Heading2"/>
      </w:pPr>
      <w:r>
        <w:t>Erwägungen</w:t>
      </w:r>
    </w:p>
    <w:p>
      <w:r>
        <w:rPr>
          <w:b/>
        </w:rPr>
        <w:t>E. 1</w:t>
      </w:r>
    </w:p>
    <w:p>
      <w:r>
        <w:t>Angefochten ist der kantonal letztinstanzliche Entscheid betreffend Leistung eines Prozesskostenvorschusses von Fr. 5'000.--; weil der für die Beschwerde in Zivilsachen erforderliche Mindeststreitwert von Fr. 30'000.-- nicht erreicht ist, steht nur die subsidiäre Verfassungsbeschwerde offen (Art. 72 Abs. 1, Art. 74 Abs. 1 lit. b, Art. 75 Abs. 1, Art. 90 und Art. 113 BGG ). Mit dieser kann einzig die Verletzung verfassungsmässiger Rechte gerügt werden ( Art. 116 BGG ), wofür das strenge Rügeprinzip gilt (Art. 106 Abs. 2 i.V.m. Art. 117 BGG ). Das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2</w:t>
      </w:r>
    </w:p>
    <w:p>
      <w:r>
        <w:t>Der Beschwerdeführer rügt weder explizit noch implizit eine Verletzung verfassungsmässiger Rechte. Vielmehr beschränkt er sich darauf, mit durchwegs appellatorischen Ausführungen die Notwendigkeit eines Privatfahrzeuges zu behaupten (die Kosten eines öV-Abonnements stünden in keinem angemessenen Verhältnis zum tatsächlichen Zeitaufwand und zur nötigen Flexibilität; die pünktliche Beförderung seiner Tochter liege im Kindeswohl). Damit sind keine Verfassungsverletzungen dargetan.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