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238/2017 vom 11. Dezember 2017</w:t>
      </w:r>
    </w:p>
    <w:p>
      <w:r>
        <w:t>Bundesgericht, 2017-12-11, FR</w:t>
      </w:r>
    </w:p>
    <w:p>
      <w:r>
        <w:rPr>
          <w:b/>
        </w:rPr>
        <w:t xml:space="preserve">Quelle: </w:t>
      </w:r>
      <w:r>
        <w:t>https://mcp.opencaselaw.ch/entscheid/bger_5D_238_2017</w:t>
      </w:r>
    </w:p>
    <w:p>
      <w:r>
        <w:t>FR: TF 5D 238/2017 du 11 décembre 2017</w:t>
      </w:r>
    </w:p>
    <w:p>
      <w:r>
        <w:t>IT: TF 5D 238/2017 del 11 dicembre 2017</w:t>
      </w:r>
    </w:p>
    <w:p>
      <w:pPr>
        <w:pStyle w:val="Heading2"/>
      </w:pPr>
      <w:r>
        <w:t>Regeste</w:t>
      </w:r>
    </w:p>
    <w:p>
      <w:r>
        <w:t>droit de passage, autres passages (art. 695CC), travaux de réparation rénovation, mesures provisionnelles, exécution anticipée provisoire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21 juin 2017 par voie de mesures provisionnelles, le Tribunal de première instance du canton de Genève a rejeté la requête formée par A.________ et B.________ contre D.________ SA et C.________, avec suite de frais et dépens. Par arrêt du 16 octobre 2017, la Chambre civile de la Cour de justice du canton de Genève a ordonné aux requérants, conjointement et solidairement, de constituer en faveur de C.________ des sûretés à concurrence de 15'000 fr. avant le début des travaux qui nécessitent l'utilisation de la parcelle propriété du prénommé et, en bref, autorisé les requérants, dès la constitution de ces sûretés, à utiliser la parcelle de C.________ " dans la mesure nécessaire à la réfection de la toiture basse et haute de la galette de leur immeuble ". S'agissant des frais " des deux instances ", la cour cantonale les a mis à la charge des requérants, conjointement et solidairement, à raison de trois-quarts et à la charge de C.________ à raison d'un quart; elle a condamné les requérants, conjointement et solidairement, à verser à ce dernier la somme de 3'000 fr. à titre de dépens.</w:t>
      </w:r>
    </w:p>
    <w:p>
      <w:r>
        <w:rPr>
          <w:b/>
        </w:rPr>
        <w:t>E. 2</w:t>
      </w:r>
    </w:p>
    <w:p>
      <w:r>
        <w:t>Par mémoire expédié le 23 novembre 2017, les requérants exercent un recours constitutionnel subsidiaire; ils demandent au Tribunal fédéral de les dispenser de fournir des sûretés et de condamner l'intimé aux frais et dépens des instances cantonales. Des déterminations n'ont pas été requises.</w:t>
      </w:r>
    </w:p>
    <w:p>
      <w:r>
        <w:rPr>
          <w:b/>
        </w:rPr>
        <w:t>E. 3</w:t>
      </w:r>
    </w:p>
    <w:p>
      <w:r>
        <w:t>La valeur litigieuse minimale prescrite par l' art. 74 al. 1 let. b LTF n'est pas atteinte, de sorte que seul le recours constitutionnel subsidiaire est ouvert dans le cas présent ( art. 113 ss LTF ). Les art. 90 à 94 LTF étant applicables par analogie ( art. 117 LTF ), sa recevabilité suppose qu'il soit dirigé contre une décision attaquable au regard des dispositions précitées ( ATF 137 III 522 consid. 1.1). Contrairement à l'avis des recourants ( p. 6 ch. 2 ), la décision attaquée n'est pas " finale ", dès lors qu'elle ne met pas fin à la procédure; elle constitue une décision incidente, rendue en matière provisionnelle, qui n'est sujette à un recours immédiat que si elle est de nature à causer un préjudice irréparable au sens de l' art. 93 al. 1 let. a LTF ( cf . parmi d'autres: ATF 142 III 798 consid. 2.2 et les arrêts cités). Faute d'avoir correctement qualifié l'acte entrepris, les intéressés ne démontrent pas que cette condition serait réalisée en l'occurrence; partant, le recours est irrecevable en tant qu'il est dirigé contre l'obligation de constituer des sûretés ( ibidem , avec les références). Il en va de même en ce qui concerne la répartition des frais et dépens cantonaux, cette question n'étant qu'un point accessoire de la décision provisionnelle - de nature incidente ( cf . ATF 137 III 324 consid. 1.1) - attaquée ( ATF 143 III 416 consid. 1.3 et les citations).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), avec suite de frais à la charge des recourants ( art. 66 al. 1 LTF ). Il n'y a pas lieu d'accorder de dépens à l'intimé, qui n'a pas été invité à répondre.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