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5D_234/2020 vom 15. September 2020</w:t>
      </w:r>
    </w:p>
    <w:p>
      <w:r>
        <w:t>Bundesgericht, 2020-09-15, DE</w:t>
      </w:r>
    </w:p>
    <w:p>
      <w:r>
        <w:rPr>
          <w:b/>
        </w:rPr>
        <w:t xml:space="preserve">Quelle: </w:t>
      </w:r>
      <w:r>
        <w:t>https://mcp.opencaselaw.ch/entscheid/bger_5D_234_2020</w:t>
      </w:r>
    </w:p>
    <w:p>
      <w:r>
        <w:t>FR: TF 5D_234/2020 du 15 septembre 2020</w:t>
      </w:r>
    </w:p>
    <w:p>
      <w:r>
        <w:t>IT: TF 5D_234/2020 del 15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Anfechtungsobjekt ist ein kantonal letztinstanzlicher Entscheid über den Erlass von Gerichtskosten in der Höhe von Fr. 800.--. Somit ist der gemäss Art. 74 Abs. 1 lit. b BGG für die Beschwerde in Zivilsachen erforderliche Mindeststreitwert von Fr. 30'000.-- nicht erreicht und es steht als Folge einzig die subsidiäre Verfassungsbeschwerde gemäss Art. 113 BGG offen. Mit dieser kann nur die Verletzung verfassungsrechtlicher Normen gerügt werden ( Art. 116 BGG ), wobei hierfür das strenge Rügeprinzip gilt (Art. 106 Abs. 2 i.V.m. Art. 117 BGG ).</w:t>
      </w:r>
    </w:p>
    <w:p>
      <w:r>
        <w:rPr>
          <w:b/>
        </w:rPr>
        <w:t>E. 2</w:t>
      </w:r>
    </w:p>
    <w:p>
      <w:r>
        <w:t>Die Beschwerdeführerin kritisiert den Vater des Kindes und das Gericht in der Obhutssache selbst; als Folge hält sie fest, nicht bereit zu sein, für die Fehler Anderer Gerichtskosten zu tragen.</w:t>
      </w:r>
    </w:p>
    <w:p>
      <w:r>
        <w:t>Damit werden weder der Form noch dem Inhalt nach Verfassungsrügen erhoben; namentlich wird keine willkürliche Anwendung von Art. 112 ZPO aufgezeigt und ebenso wenig erfolgt eine auch nur ansatzweise Auseinandersetzung mit den ausführlichen Erwägungen des angefochtenen Entscheides.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