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5D_233/2015 vom 22. Dezember 2015</w:t>
      </w:r>
    </w:p>
    <w:p>
      <w:r>
        <w:t>Bundesgericht, 2015-12-22, DE</w:t>
      </w:r>
    </w:p>
    <w:p>
      <w:r>
        <w:rPr>
          <w:b/>
        </w:rPr>
        <w:t xml:space="preserve">Quelle: </w:t>
      </w:r>
      <w:r>
        <w:t>https://mcp.opencaselaw.ch/entscheid/bger_5D_233_2015</w:t>
      </w:r>
    </w:p>
    <w:p>
      <w:r>
        <w:t>FR: TF 5D_233/2015 du 22 décembre 2015</w:t>
      </w:r>
    </w:p>
    <w:p>
      <w:r>
        <w:t>IT: TF 5D_233/2015 del 22 dicembre 2015</w:t>
      </w:r>
    </w:p>
    <w:p>
      <w:pPr>
        <w:pStyle w:val="Heading2"/>
      </w:pPr>
      <w:r>
        <w:t>Volltext</w:t>
      </w:r>
    </w:p>
    <w:p>
      <w:r>
        <w:t>Bundesgericht</w:t>
      </w:r>
    </w:p>
    <w:p>
      <w:r>
        <w:t>Tribunal fédéral</w:t>
      </w:r>
    </w:p>
    <w:p>
      <w:r>
        <w:t>Tribunale federale</w:t>
      </w:r>
    </w:p>
    <w:p>
      <w:r>
        <w:t>Tribunal federal</w:t>
      </w:r>
    </w:p>
    <w:p>
      <w:r>
        <w:t>{T 0/2}</w:t>
      </w:r>
    </w:p>
    <w:p>
      <w:r>
        <w:t>5D_233/2015</w:t>
      </w:r>
    </w:p>
    <w:p>
      <w:r>
        <w:t>Urteil vom 22. Dezember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Schweizerische Eidgenossenschaft,</w:t>
      </w:r>
    </w:p>
    <w:p>
      <w:r>
        <w:t>Kanton Aargau,</w:t>
      </w:r>
    </w:p>
    <w:p>
      <w:r>
        <w:t>beide vertreten durch Kantonales Steueramt Aargau,</w:t>
      </w:r>
    </w:p>
    <w:p>
      <w:r>
        <w:t>Beschwerdegegner.</w:t>
      </w:r>
    </w:p>
    <w:p>
      <w:r>
        <w:t>Gegenstand</w:t>
      </w:r>
    </w:p>
    <w:p>
      <w:r>
        <w:t>Definitive Rechtsöffnung,</w:t>
      </w:r>
    </w:p>
    <w:p>
      <w:r>
        <w:t>Verfassungsbeschwerde gegen den Entscheid vom 28. Oktober 2015 des Obergerichts des Kantons Aargau (Zivilgericht, 4. Kammer).</w:t>
      </w:r>
    </w:p>
    <w:p>
      <w:r>
        <w:t>Nach Einsicht</w:t>
      </w:r>
    </w:p>
    <w:p>
      <w:r>
        <w:t>in die Verfassungsbeschwerde gegen den Entscheid vom 28. Oktober 2015 des Obergerichts des Kantons Aargau, das auf eine Beschwerde des Beschwerdeführers gegen die erstinstanzliche Erteilung der definitiven Rechtsöffnung an die Beschwerdegegner für Fr. 16'956.-- nebst Zins (Steuern) nicht eingetreten ist,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28. Oktober 2015 erwog, in seiner Beschwerde an das Obergericht habe der Beschwerdeführer weder einen Antrag gestellt noch sich mit dem erstinstanzlichen Entscheid auseinandergesetzt, auf die den gesetzlichen Anforderungen nicht entsprechende Beschwerde sei nicht einzutreten, im Übrigen wäre die Beschwerde abzuweisen gewesen, weil im Rechtsöffnungsverfahren nicht über den materiellen Bestand der Betreibungsforderung und über die Richtigkeit des Rechtsöffnungstitels zu befinden sei,</w:t>
      </w:r>
    </w:p>
    <w:p>
      <w:r>
        <w:t>dass der Beschwerdeführer in seiner Eingabe an das Bundesgericht nicht auf die obergerichtlichen Erwägungen eingeht,</w:t>
      </w:r>
    </w:p>
    <w:p>
      <w:r>
        <w:t>dass er erst recht nicht anhand dieser Erwägungen nach den gesetzlichen Anforderungen, d.h. klar und detailliert aufzeigt, welche verfassungsmässigen Rechte und inwiefern sie durch den Entscheid des Obergerichts vom 28. Oktober 2015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300.-- werden dem Beschwerdeführer auferlegt.</w:t>
      </w:r>
    </w:p>
    <w:p>
      <w:r>
        <w:t>3.</w:t>
      </w:r>
    </w:p>
    <w:p>
      <w:r>
        <w:t>Dieses Urteil wird den Parteien und dem Obergericht des Kantons Aargau schriftlich mitgeteilt.</w:t>
      </w:r>
    </w:p>
    <w:p>
      <w:r>
        <w:t>Lausanne, 22. Dezember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