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232/2023 vom 27. Dezember 2023</w:t>
      </w:r>
    </w:p>
    <w:p>
      <w:r>
        <w:t>Bundesgericht, 2023-12-27, DE</w:t>
      </w:r>
    </w:p>
    <w:p>
      <w:r>
        <w:rPr>
          <w:b/>
        </w:rPr>
        <w:t xml:space="preserve">Quelle: </w:t>
      </w:r>
      <w:r>
        <w:t>https://mcp.opencaselaw.ch/entscheid/bger_5D_232_2023</w:t>
      </w:r>
    </w:p>
    <w:p>
      <w:r>
        <w:t>FR: TF 5D 232/2023 du 27 décembre 2023</w:t>
      </w:r>
    </w:p>
    <w:p>
      <w:r>
        <w:t>IT: TF 5D 232/2023 del 27 dicembre 2023</w:t>
      </w:r>
    </w:p>
    <w:p>
      <w:pPr>
        <w:pStyle w:val="Heading2"/>
      </w:pPr>
      <w:r>
        <w:t>Regeste</w:t>
      </w:r>
    </w:p>
    <w:p>
      <w:r>
        <w:t>Entschädigung des unentgeltlichen Rechtsvertreters (Abänderung Scheidungsurteil) | Familienrecht</w:t>
      </w:r>
    </w:p>
    <w:p>
      <w:pPr>
        <w:pStyle w:val="Heading2"/>
      </w:pPr>
      <w:r>
        <w:t>Erwägungen</w:t>
      </w:r>
    </w:p>
    <w:p>
      <w:r>
        <w:rPr>
          <w:b/>
        </w:rPr>
        <w:t>E. 1</w:t>
      </w:r>
    </w:p>
    <w:p>
      <w:r>
        <w:t>Rechtsanwalt B.________ vertrat den Beschwerdeführer unentgeltlich in einem Berufungsverfahren betreffend Abänderung eines Scheidungsurteils. Mit Beschluss vom 18. Dezember 2023 setzte das Obergericht des Kantons Zürich die Entschädigung von Rechtsanwalt B.________ - antragsgemäss - auf total Fr. 2'774.55 fest. Die Nachzahlungspflicht des Beschwerdeführers gemäss Art. 123 Abs. 1 ZPO behielt das Obergericht vor. Gegen diesen Beschluss hat der Beschwerdeführer am 21. Dezember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In seiner teilweise schwer verständlichen Eingabe macht der Beschwerdeführer geltend, er werde der Nachzahlung nicht nachkommen, und er erhebt Vorwürfe gegen Rechtsanwalt B.________, der versucht habe, ihn zu erpressen und dazu zu zwingen, eine willkürliche Vereinbarung zu akzeptieren. Der Beschwerdeführer belegt seine Vorwürfe nicht und er legt nicht dar, inwiefern das Obergericht die Entschädigung in verfassungswidriger Weise festgelegt haben soll. Unklar bleibt, gegen wen sich sein Vorwurf des Rassismus richtet. Die Beschwerde enthält offensichtlich keine hinreichende Begründung. Der Abteilungspräsident tritt auf sie im vereinfachten Verfahren nicht ein (Art. 117 i.V.m. Art. 108 Abs. 1 lit. b BGG ).</w:t>
      </w:r>
    </w:p>
    <w:p>
      <w:r>
        <w:rPr>
          <w:b/>
        </w:rPr>
        <w:t>E. 4</w:t>
      </w:r>
    </w:p>
    <w:p>
      <w:r>
        <w:t>Bei diesem Ausgang des Verfahrens trägt der Beschwerdeführer die Gerichtskosten ( Art. 66 Abs. 1 BGG ). Vor Bundesgericht stellt der Beschwerdeführer kein Gesuch um unentgeltliche Rechtspflege. Ein solches Gesuch wäre infolge Aussichtslosigkeit der Beschwerde ohnehin abzuweisen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