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232/2019 vom 3. Februar 2020</w:t>
      </w:r>
    </w:p>
    <w:p>
      <w:r>
        <w:t>Bundesgericht, 2020-02-03, IT</w:t>
      </w:r>
    </w:p>
    <w:p>
      <w:r>
        <w:rPr>
          <w:b/>
        </w:rPr>
        <w:t xml:space="preserve">Quelle: </w:t>
      </w:r>
      <w:r>
        <w:t>https://mcp.opencaselaw.ch/entscheid/bger_5D_232_2019</w:t>
      </w:r>
    </w:p>
    <w:p>
      <w:r>
        <w:t>FR: TF 5D 232/2019 du 3 février 2020</w:t>
      </w:r>
    </w:p>
    <w:p>
      <w:r>
        <w:t>IT: TF 5D 232/2019 del 3 febbraio 2020</w:t>
      </w:r>
    </w:p>
    <w:p>
      <w:pPr>
        <w:pStyle w:val="Heading2"/>
      </w:pPr>
      <w:r>
        <w:t>Regeste</w:t>
      </w:r>
    </w:p>
    <w:p>
      <w:r>
        <w:t>anticipo spese (rigetto provvisorio dell'opposizione) | Diritto delle esecuzioni e del fallimento</w:t>
      </w:r>
    </w:p>
    <w:p>
      <w:pPr>
        <w:pStyle w:val="Heading2"/>
      </w:pPr>
      <w:r>
        <w:t>Erwägungen</w:t>
      </w:r>
    </w:p>
    <w:p>
      <w:r>
        <w:rPr>
          <w:b/>
        </w:rPr>
        <w:t>E. 1</w:t>
      </w:r>
    </w:p>
    <w:p>
      <w:r>
        <w:t>Con reclamo 15 ottobre 2019 A.________ SA ha impugnato la decisione emessa il 7 ottobre 2019 dalla Giudicatura di pace del circolo di Sant'Antonino nel quadro dell'istanza di rigetto provvisorio dell'opposizione promossa dalla B.________ SA (valore di lite fr. 3'651.70). Mediante sentenza 12 dicembre 2019 la Camera di esecuzione e fallimenti del Tribunale d'appello del Cantone Ticino ha dichiarato tale reclamo irricevibile per mancato pagamento dell'anticipo delle spese processuali presumibili pari a fr. 250.--.</w:t>
      </w:r>
    </w:p>
    <w:p>
      <w:r>
        <w:rPr>
          <w:b/>
        </w:rPr>
        <w:t>E. 2</w:t>
      </w:r>
    </w:p>
    <w:p>
      <w:r>
        <w:t>Con scritto datato 27 dicembre 2019 A.________ SA ha impugnato la predetta sentenza dinanzi al Tribunale federale. Non sono state chieste determinazioni.</w:t>
      </w:r>
    </w:p>
    <w:p>
      <w:r>
        <w:rPr>
          <w:b/>
        </w:rPr>
        <w:t>E. 3</w:t>
      </w:r>
    </w:p>
    <w:p>
      <w:r>
        <w:t>L'atto ricorsuale al Tribunale federale deve contenere le conclusioni ed i motivi ( art. 42 cpv. 1 LTF ).</w:t>
      </w:r>
    </w:p>
    <w:p>
      <w:r>
        <w:rPr>
          <w:b/>
        </w:rPr>
        <w:t>E. 3.1</w:t>
      </w:r>
    </w:p>
    <w:p>
      <w:r>
        <w:t>In concreto il ricorso non contiene alcuna conclusione volta alla modifica della sentenza impugnata (v. sentenza 5A_683/2019 del 29 ottobre 2019 consid. 4 con rinvii), ma è di natura meramente dilatoria: la ricorrente si limita infatti a chiedere una proroga per " risolvere le [sue] questioni interne " e per " poter far fronte in seguito alla esigenza della B.________ SA ".</w:t>
      </w:r>
    </w:p>
    <w:p>
      <w:r>
        <w:rPr>
          <w:b/>
        </w:rPr>
        <w:t>E. 3.2</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134 II 244 consid. 2.2). Il rimedio qui discusso non soddisfa le esigenze di motivazione dei combinati art. 117 e 106 cpv. 2 LTF . La ricorrente non si prevale infatti di alcuna lesione di garanzie costituzionali.</w:t>
      </w:r>
    </w:p>
    <w:p>
      <w:r>
        <w:rPr>
          <w:b/>
        </w:rPr>
        <w:t>E. 4</w:t>
      </w:r>
    </w:p>
    <w:p>
      <w:r>
        <w:t>Da quanto precede discende che il ricorso, manifestamente inammissibile e manifestamente non motivato in modo sufficiente, può essere deciso nella procedura semplificata dei combinati art. 117 e 108 cpv. 1 lett. a-b LTF. Le spese giudiziarie seguono la soccombenza ( art. 66 cpv. 1 LTF ). Per questi motivi, la Giudice presidente pronuncia: 1. Il ricorso è inammissibile. 2. Le spese giudiziarie di fr. 100.-- sono poste a carico della ricorrente. 3. Comunicazione alle parti e alla Camera di esecuzione e fallimenti del Tribunale d'appello del Cantone Ticino. Losanna, 3 febbraio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