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5D_230/2023 vom 20. Dezember 2023</w:t>
      </w:r>
    </w:p>
    <w:p>
      <w:r>
        <w:t>Bundesgericht, 2023-12-20, DE</w:t>
      </w:r>
    </w:p>
    <w:p>
      <w:r>
        <w:rPr>
          <w:b/>
        </w:rPr>
        <w:t xml:space="preserve">Quelle: </w:t>
      </w:r>
      <w:r>
        <w:t>https://mcp.opencaselaw.ch/entscheid/bger_5D_230_2023</w:t>
      </w:r>
    </w:p>
    <w:p>
      <w:r>
        <w:t>FR: TF 5D_230/2023 du 20 décembre 2023</w:t>
      </w:r>
    </w:p>
    <w:p>
      <w:r>
        <w:t>IT: TF 5D_230/2023 del 20 dicembre 2023</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Die Eingabe an das Bundesgericht erfolgt durch eine Treuhandfirma, welche diese Voraussetzungen offenkundig nicht erfüllt. Ausserdem würde es auch an einer Vollmacht mangeln; dieser Mangel liesse sich nicht heilen, weil die Treuhandfirma wie gesagt nicht vertretungsbefugt ist. Der Mangel der Vertretungsbefugnis liesse sich heilen, indem die Eingabe direkt dem Beschwerdeführer zur persönlichen Unterzeichnung zugeschickt würde ( Art. 42 Abs. 1 und 5 BGG ); dies erübrigt sich jedoch insofern, als auf die Beschwerde mangels tauglicher Rechtsbegehren und mangels einer hinreichenden Begründung ohnehin nicht eingetreten werden kann (dazu E. 2).</w:t>
      </w:r>
    </w:p>
    <w:p>
      <w:r>
        <w:rPr>
          <w:b/>
        </w:rPr>
        <w:t>E. 2</w:t>
      </w:r>
    </w:p>
    <w:p>
      <w:r>
        <w:t>Angefochten ist der kantonal letztinstanzliche Entscheid über eine auf Art. 123 Abs. 1 ZPO gestützte Kostennachforderung von Fr. 11'047.30 im Rahmen der für ein Zivilverfahren gewährten unentgeltlichen Rechtspflege. Der Streitwert erreicht den für die Beschwerde in Zivilsachen erforderlichen Mindestwert von Fr. 30'000.-- nicht ( Art. 74 Abs. 1 lit. b BGG ), weshalb nur die subsidiäre Verfassungsbeschwerde zur Verfügung steht ( Art. 113 BGG ). Mit ihr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140 III 264 E. 2.3; 142 III 364 E. 2.4). Vorliegend werden keine verfassungsmässigen Rechte als verletzt angerufen und die Ausführungen enthalten auch vom Inhalt her nichts, was sinngemäss Verfassungsrügen begründen könnte. Aber selbst bei voller Kognition würde die Beschwerde daran scheitern, dass sie auf neu eingereichten Unterlagen basiert, die aufgrund des Novenverbotes nicht erst im bundesgerichtlichen Verfahren eingereicht werden können ( Art. 99 Abs. 1 BGG ). Im Übrigen fehlt es der Beschwerde auch an den notwendigen Rechtsbegehren ( Art. 42 Abs. 1 BGG ).</w:t>
      </w:r>
    </w:p>
    <w:p>
      <w:r>
        <w:rPr>
          <w:b/>
        </w:rPr>
        <w:t>E. 3</w:t>
      </w:r>
    </w:p>
    <w:p>
      <w:r>
        <w:t>Nach dem Gesagten ist auf die Beschwerde im vereinfachten Verfahren nach Art. 108 Abs. 1 lit. b BGG nicht einzutreten.</w:t>
      </w:r>
    </w:p>
    <w:p>
      <w:r>
        <w:rPr>
          <w:b/>
        </w:rPr>
        <w:t>E. 4</w:t>
      </w:r>
    </w:p>
    <w:p>
      <w:r>
        <w:t>Angesichts der konkreten Umstände ist auf die Erhebung von Gerichtskosten zu verzichten ( Art. 66 Abs. 1 BGG ), zumal mangels einer Vollmacht nicht einmal klar ist, ob die Beschwerde wirklich von einem Anfechtungswillen des Beschwerdeführers getragen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