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5D_22/2024 vom 5. November 2024</w:t>
      </w:r>
    </w:p>
    <w:p>
      <w:r>
        <w:t>Bundesgericht, 2024-11-05, DE</w:t>
      </w:r>
    </w:p>
    <w:p>
      <w:r>
        <w:rPr>
          <w:b/>
        </w:rPr>
        <w:t xml:space="preserve">Quelle: </w:t>
      </w:r>
      <w:r>
        <w:t>https://mcp.opencaselaw.ch/entscheid/bger_5D_22_2024</w:t>
      </w:r>
    </w:p>
    <w:p>
      <w:r>
        <w:t>FR: TF 5D_22/2024 du 5 novembre 2024</w:t>
      </w:r>
    </w:p>
    <w:p>
      <w:r>
        <w:t>IT: TF 5D_22/2024 del 5 novembre 2024</w:t>
      </w:r>
    </w:p>
    <w:p>
      <w:pPr>
        <w:pStyle w:val="Heading2"/>
      </w:pPr>
      <w:r>
        <w:t>Erwägungen</w:t>
      </w:r>
    </w:p>
    <w:p>
      <w:r>
        <w:rPr>
          <w:b/>
        </w:rPr>
        <w:t>E. 1.1</w:t>
      </w:r>
    </w:p>
    <w:p>
      <w:r>
        <w:t>Gegen den angefochtenen Entscheid des oberen kantonalen Gerichts, das als Rechtsmittelinstanz über eine negative Feststellungsklage gemäss Art. 85a SchKG entschieden hat ( Art. 72 ff. BGG ), ist die Beschwerde in Zivilsachen nur gegeben, wenn eine Streitwertgrenze von Fr. 30'000.- erreicht ist oder wenn sich eine Rechtsfrage von grundsätzlicher Bedeutung stellt ( Art. 74 Abs. 1 lit. b, Art. 74 Abs. 2 lit. a BGG ). Da die Streitwertgrenze vorliegend nicht erreicht ist, und die Beschwerdeführerin nicht dartut ( Art. 42 Abs. 2 BGG ), inwiefern sich eine Rechtsfrage von grundsätzlicher Bedeutung stellen könnte, ist die Eingabe der Beschwerdeführerin als subsidiäre Verfassungsbeschwerde entgegenzunehmen ( Art. 113 BGG ).</w:t>
      </w:r>
    </w:p>
    <w:p>
      <w:r>
        <w:rPr>
          <w:b/>
        </w:rPr>
        <w:t>E. 1.2</w:t>
      </w:r>
    </w:p>
    <w:p>
      <w:r>
        <w:t>Die im kantonalen Verfahren unterlegene Beschwerdeführerin hat als Klägerin ein rechtlich geschütztes Interesse an der Aufhebung oder Änderung des angefochtenen Entscheides ( Art. 115 BGG ).</w:t>
      </w:r>
    </w:p>
    <w:p>
      <w:r>
        <w:rPr>
          <w:b/>
        </w:rPr>
        <w:t>E. 1.3</w:t>
      </w:r>
    </w:p>
    <w:p>
      <w:r>
        <w:t>Mit dem Rechtsmittel der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3.1).</w:t>
      </w:r>
    </w:p>
    <w:p>
      <w:r>
        <w:rPr>
          <w:b/>
        </w:rPr>
        <w:t>E. 2.1</w:t>
      </w:r>
    </w:p>
    <w:p>
      <w:r>
        <w:t>Die Beschwerdeführerin rügt unter Hinweis auf Art. 29 Abs. 2 BV eine Verletzung ihres Anspruchs auf rechtliches Gehör in seinem Teilgehalt des Anspruchs auf einen begründeten Entscheid. Aus der Beschwerdebegründung ergibt sich indes, dass sie inhaltlich nicht mit der oberinstanzlichen Begründung einverstanden ist. Ein allenfalls rechtsfehlerhaftes Urteil beschlägt indes nicht die Begründungspflicht, sondern die vorinstanzliche Rechtsanwendung ( BGE 146 II 335 E. 5.2; 145 III 324 E. 6.1). Im Übrigen hat das Obergericht seinen Entscheid sorgfältig und umfassend begründet; von einer Verletzung der Begründungspflicht kann keine Rede sein.</w:t>
      </w:r>
    </w:p>
    <w:p>
      <w:r>
        <w:rPr>
          <w:b/>
        </w:rPr>
        <w:t>E. 2.2</w:t>
      </w:r>
    </w:p>
    <w:p>
      <w:r>
        <w:t>Die Rüge der Beschwerdeführerin, der angefochtene Entscheid verletze Art. 5 BV , erfüllt die Begründungsanforderungen nicht; die Beschwerdeführerin äussert sich dazu nur abstrakt und ohne Bezugnahme auf die Erwägungen des angefochtenen Entscheids. Darauf ist nicht einzutreten. Dasselbe gilt, insofern die Beschwerdeführerin eine Verletzung des Legalitäts- und des Verhältnismässigkeitsprinzips geltend macht. Unter diesem Titel nicht einzutreten ist sodann auf die nicht weiter begründeten Behauptungen der Beschwerdeführerin, mit denen sie eine Verletzung von Art. 6 EMRK , Art. 29 und Art. 30 BV geltend macht.</w:t>
      </w:r>
    </w:p>
    <w:p>
      <w:r>
        <w:rPr>
          <w:b/>
        </w:rPr>
        <w:t>E. 3</w:t>
      </w:r>
    </w:p>
    <w:p>
      <w:r>
        <w:t>Das Obergericht befasste sich mit folgenden Streitgegenständen: Gültigkeit der Vertretung des Beschwerdegegners in der Hauptverhandlung vor Bezirksgericht (E. III/1), Nichtigkeit des Betreibungsbegehrens (E. III/2), Nichtigkeit des Zahlungsbefehls (E. III/3), die (angeblich unterlassene) Zustellung und Unterzeichnung der Bussenverfügung (E. III/4), die (angebliche) Fälschung der Rechtskraftbescheinigung (E. III/5), die (angeblich) fehlende Rechtskraft bei Betreibungseinleitung (E. III/6), die (angeblich) unterlassene Mahnung hinsichtlich der Bussenverfügung (E. III/7) und die Verjährung der Forderung (E. III/8).</w:t>
      </w:r>
    </w:p>
    <w:p>
      <w:r>
        <w:rPr>
          <w:b/>
        </w:rPr>
        <w:t>E. 3.1</w:t>
      </w:r>
    </w:p>
    <w:p>
      <w:r>
        <w:t>In seinem Urteil 5A_900/2023 vom 18. März 2024 E. 4.3 hat das Bundesgericht die Rüge der Beschwerdeführerin, die Betreibung Nr. zzz sei nichtig, als unbegründet erachtet. Dieses Urteil ist am Tag seiner Ausfällung in Rechtskraft erwachsen ( Art. 61 BGG ). Die Beschwerdeführerin behauptet nicht und legt nicht dar, dass sie andere Nichtigkeitsgründe anruft als in den Verfahren, die zum soeben erwähnten Urteil geführt haben. Damit ist diese Frage rechtskräftig entschieden; darauf kann das Bundesgericht von vornherein nicht zurückkommen. Auf das Rechtsbegehren 3 kann nicht eingetreten werden.</w:t>
      </w:r>
    </w:p>
    <w:p>
      <w:r>
        <w:rPr>
          <w:b/>
        </w:rPr>
        <w:t>E. 3.2</w:t>
      </w:r>
    </w:p>
    <w:p>
      <w:r>
        <w:t>Die Beschwerdeführerin beschränkt sich in ihren Ausführungen darauf, ihre im kantonalen Verfahren gemachten Vorbringen zu wiederholen, ohne in einer den qualifizierten Anforderungen an die Begründung von Verfassungsrügen (Art. 117 i.V.m. Art. 106 Abs. 2 BGG ; vgl. vorne E. 1.3) genügenden Weise Verletzungen verfassungsmässiger Rechte geltend zu machen. Aus diesem Grund kann auf die Beschwerde mit den weiteren Rechtsbegehren nicht eingetreten werden. Erörterungen über die Wirkungsweise der Klage nach Art. 85a SchKG bei öffentlich-rechtlichen Ansprüchen erübrigen sich.</w:t>
      </w:r>
    </w:p>
    <w:p>
      <w:r>
        <w:rPr>
          <w:b/>
        </w:rPr>
        <w:t>E. 4</w:t>
      </w:r>
    </w:p>
    <w:p>
      <w:r>
        <w:t>Nach dem Ausgeführten erweist sich die Beschwerde als unzulässig und ist darauf nicht einzutreten. Bei diesem Verfahrensausgang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