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22/2015 vom 17. März 2015</w:t>
      </w:r>
    </w:p>
    <w:p>
      <w:r>
        <w:t>Bundesgericht, 2015-03-17, FR</w:t>
      </w:r>
    </w:p>
    <w:p>
      <w:r>
        <w:rPr>
          <w:b/>
        </w:rPr>
        <w:t xml:space="preserve">Quelle: </w:t>
      </w:r>
      <w:r>
        <w:t>https://mcp.opencaselaw.ch/entscheid/bger_5D_22_2015</w:t>
      </w:r>
    </w:p>
    <w:p>
      <w:r>
        <w:t>FR: TF 5D 22/2015 du 17 mars 2015</w:t>
      </w:r>
    </w:p>
    <w:p>
      <w:r>
        <w:t>IT: TF 5D 22/2015 del 17 marzo 2015</w:t>
      </w:r>
    </w:p>
    <w:p>
      <w:pPr>
        <w:pStyle w:val="Heading2"/>
      </w:pPr>
      <w:r>
        <w:t>Regeste</w:t>
      </w:r>
    </w:p>
    <w:p>
      <w:r>
        <w:t>action en réduction | Droit des successions</w:t>
      </w:r>
    </w:p>
    <w:p>
      <w:pPr>
        <w:pStyle w:val="Heading2"/>
      </w:pPr>
      <w:r>
        <w:t>Erwägungen</w:t>
      </w:r>
    </w:p>
    <w:p>
      <w:r>
        <w:rPr>
          <w:b/>
        </w:rPr>
        <w:t>E. 1</w:t>
      </w:r>
    </w:p>
    <w:p>
      <w:r>
        <w:t>Le recours ne porte dorénavant plus que sur la réduction d'une libéralité entre vifs, requise par une héritière réservataire; il est ainsi dirigé contre une décision finale ( art. 90 LTF ) en matière successorale ( art. 72 al. 1 LTF ), de nature pécuniaire, dont la valeur litigieuse est déterminée au regard des conclusions qui étaient encore litigieuses devant l'autorité cantonale précédant le Tribunal fédéral. La valeur litigieuse est en l'occurrence d'au moins 146'723 fr. 35 et correspond à la réduction de la libéralité entre vifs encore querellée, à savoir un montant supérieur au seuil minimal de 30'000 fr. ( art. 51 al. 1 let . c et al. 4, art. 74 al. 1 let. b LTF ), ce que l'autorité précédente a au demeurant constaté implicitement en indiquant que la voie de recours ouverte contre son arrêt était le recours en matière civile. Il s'ensuit que le recours en matière civile est recevable, si bien que la voie du recours constitutionnel subsidiaire choisie par la recourante est fermée ( art. 113 LTF ). Toutefois, l'intitulé erroné du mémoire de recours ne saurait porter préjudice à la recourante, de sorte que l'acte de recours sera traité comme un recours en matière civile ( ATF 136 II 497 consid. 3.1 p. 499). Pour le surplus, le recours a été déposé dans le délai ( art. 100 al. 1 LTF ) et la forme ( art. 42 al. 1 LTF ) prévus par la loi, contre une décision prise par un tribunal supérieur statuant en dernière instance cantonale ( art. 75 al. 1 LTF ), par une partie ayant qualité pour recourir ( art. 76 al. 1 let. a et b LTF ). Il est dès lors recevable au regard de ces dispositions.</w:t>
      </w:r>
    </w:p>
    <w:p>
      <w:r>
        <w:rPr>
          <w:b/>
        </w:rPr>
        <w:t>E. 2</w:t>
      </w:r>
    </w:p>
    <w:p>
      <w:r>
        <w:t>Le recours en matière civile peut être formé pour violation du droit, tel qu'il est délimité par les art. 95 et 96 LTF . Le Tribunal fédéral applique le droit d'office ( art. 106 al. 1 LTF ). Toutefois, compte tenu de l'obligation de motiver qui incombe à la partie recourante en vertu de l' art. 42 al. 2 LTF , il n'examine pas, comme le ferait un juge de première instance, toutes les questions juridiques qui pourraient se poser, mais uniquement celles qui sont soulevées devant lui ( ATF 140 III 86 consid. 2 p. 88 s. et les arrêts cités). Le Tribunal fédéral n'est en effet saisi que des questions qui sont soulevées devant lui et ne traite donc pas les questions qui ne sont plus discutées par les parties. Le principe de l'application du droit d'office est limité dans la procédure devant le Tribunal fédéral ( FABIENNE HOHL, Procédure civile, vol. II, 2010, n° 2894 p. 513; LEUENBERGER / UFFER-TOBLER, Schweizerisches Zivilprozessrecht, 2010, n° 4.53 p. 123 s.). Pour satisfaire à son obligation de motiver, la partie qui recourt doit discuter les motifs de la décision entreprise et indiquer précisément en quoi il estime que l'autorité précédente a méconnu le droit; à la lecture de son exposé, l'on doit comprendre clairement quelles règles de droit auraient été, selon lui, transgressées par l'autorité cantonale ( ATF 133 IV 286 consid. 1.4 p. 287; arrêt 5A_129/2007 du 28 juin 2008 consid. 1.4). Lorsque la décision attaquée s'appuie sur plusieurs motivations indépendantes, alternatives ou subsidiaires, toutes suffisantes, le recourant doit, sous peine d'irrecevabilité, démontrer que chacune d'entre elles est contraire au droit ( ATF 138 III 728 consid. 3.4 p. 735; 138 I 97 consid. 4.1.4 p. 100; 136 III 534 consid. 2 p. 535; 133 IV 119 consid. 6.3 p. 120 s.). En ce qui concerne la violation des droits fondamentaux et, de manière générale, des droits constitutionnels ( ATF 133 III 638 consid. 2 p. 639 s.), le Tribunal fédéral n'en connaît que si le grief a été expressément soulevé et motivé de façon claire et détaillée par la partie recourante, en indiquant précisément quelle disposition constitutionnelle ou légale a été violée et en démontrant, par une argumentation précise, en quoi consiste la violation ("principe d'allégation", art. 106 al. 2 LTF ; ATF 137 II 305 consid. 3.3 p. 310 s.; 135 III 232 consid. 1.2 p. 234). 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 cf. supra ), sous peine d'irrecevabilité.</w:t>
      </w:r>
    </w:p>
    <w:p>
      <w:r>
        <w:rPr>
          <w:b/>
        </w:rPr>
        <w:t>E. 3</w:t>
      </w:r>
    </w:p>
    <w:p>
      <w:r>
        <w:t>La recourante reproche à l'autorité précédente d'avoir fait preuve d'arbitraire ( art. 9 Cst. ) en relation avec l'article 2 du testament de feu F.A.________ du 15 octobre 1998. Elle expose que la cour cantonale a considéré de manière insoutenable que la libéralité faite à l'épouse du de cujus était rapportable, d'avoir arbitrairement considéré que la somme de 100'000 fr. articulée dans l'acte de constitution du droit d'habitation et d'usufruit n'était qu'une approximation et de ne pas avoir tenu compte dans son calcul de ce montant pour déterminer la réduction. La recourante affirme que les droits cédés le 15 juillet 1982 par le de cujus à sa seconde épouse constituent une dotation non rapportable pour laquelle la réduction doit être envisagée, en sorte que l'autorité précédente a violé les art. 527 al. 1 ch. 1 et 626 al. 2 CC. S'agissant de la valeur du droit d'habitation et d'usufruit, la recourante se réfère à la valeur vénale du bien grevé et soutient que la cour cantonale, sur la base des éléments du dossier, sans qu'elle soit tenue de l'alléguer, devait calculer par capitalisation la valeur de ce droit réel limité. Selon son calcul, la valeur du droit d'habitation et d'usufruit vaudrait 246'723 fr. 35 au minimum et dépasserait de 146'723 fr. 35 le montant défini de la contrepartie de la seconde épouse. La recourante expose que la cour cantonale n'était manifestement pas en mesure de retenir que la contre-prestation de la seconde épouse était équivalente à la valeur capitalisée du droit d'usufruit et d'habitation concédé. Elle conclut qu'elle a été entravée dans son action en réduction et lésée dans ses droits, de sorte qu'il faut admettre son action en réduction en ce sens que l'article 2 du testament constitue une libéralité entre vifs sujette à réduction.</w:t>
      </w:r>
    </w:p>
    <w:p>
      <w:r>
        <w:rPr>
          <w:b/>
        </w:rPr>
        <w:t>E. 3.1</w:t>
      </w:r>
    </w:p>
    <w:p>
      <w:r>
        <w:t>À teneur de l' art. 626 al. 2 CC , les dotations en faveur des descendants sont assujetties au rapport faute pour le défunt d'avoir expressément disposé le contraire. Lorsqu'une libéralité au sens de l' art. 626 al. 2 CC est reconnue et que le bénéficiaire a été dispensé du rapport, l'acte de donation se révèle réductible en vertu de l' art. 527 ch. 1 CC ( ATF 126 III 171 consid. 3a p. 173; 116 II 667 consid. 2b p. 671 ss). Selon la jurisprudence, la cession d'une valeur patrimoniale est sujette à réduction ou rapport lorsque l'acte de disposition du défunt a eu lieu totalement ou partiellement à titre gratuit, à savoir quand il n'y a pas eu de contre-prestation ou que celle-ci était de valeur sensiblement moindre de sorte qu'il existe une disproportion entre les prestations ( ATF 120 II 417 consid. 3a p. 420; 116 II 667 consid. 3/b/aa p. 674), en d'autres termes, lorsque la fortune du futur défunt a subi une diminution en raison de la libéralité, pour laquelle aucune compensation économiquement équivalente n'a été perçue. Ce sont les circonstances au moment de l'attribution qui déterminent si la libéralité doit être qualifiée de gratuite ( ATF 120 II 417 consid. 3a p. 420; 84 II 338 consid. 2 p. 343 ss; arrêt 5A_338/2010 du 4 octobre 2010 consid. 8.1 avec les références).</w:t>
      </w:r>
    </w:p>
    <w:p>
      <w:r>
        <w:rPr>
          <w:b/>
        </w:rPr>
        <w:t>E. 3.2</w:t>
      </w:r>
    </w:p>
    <w:p>
      <w:r>
        <w:t>En l'espèce, la recourante part de la prémisse erronée que l'autorité précédente aurait jugé que la libéralité en faveur de l'épouse était rapportable alors que la cour cantonale a au contraire considéré qu'il n'y avait pas eu de libéralité, l'époux ayant cédé un droit d'habitation et d'usufruit à son épouse à titre de contre-prestation de la cession par celle-ci à son mari de l'ensemble de ses droits successifs. L'autorité précédente a retenu que la recourante n'avait jamais prétendu jusqu'alors qu'il y avait eu donation, éventuellement mixte, de sorte que si la recourante entendait contester l'appréciation des faits et preuves effectuée par la Cour civile II, il lui appartenait de soulever un grief détaillé à cet égard ( art. 106 al. 2 LTF ; cf. supra consid. 2), ce qu'elle n'a pas fait. Certes, à titre subsidiaire sur quelques lignes, la cour cantonale a retenu que, dans l'hypothèse où il y aurait eu une donation mixte, la partie gratuite aurait été sujette au rapport. Toutefois, la recourante ne peut pas s'en prendre uniquement à la motivation subsidiaire, sans émettre de critique contre la motivation principale ( cf. supra consid. 2). Le raisonnement principal de l'autorité précédente consistant à nier l'existence d'une libéralité ne viole donc pas les art. 527 al. 1 ch. 1 et 626 al. 2 CC. S'agissant de la valeur du droit réel limité octroyé par le défunt à son épouse, dont il est indiqué dans l'acte constitutif qu'il se monte à 100'000 fr., le point de savoir si cette valeur est approximative - comme le retient l'autorité précédente - ou si cette indication est précise, n'est pas pertinente pour l'issue de la cause. En effet, la valeur des droits successifs cédés par la veuve à son défunt mari est indéterminée et indéterminable, de sorte que la valeur du droit d'habitation et d'usufruit ne peut être comparée à celle des droits successifs cédés aux fins de déterminer s'il existe une libéralité - même partielle - ou non. Quoi qu'il en soit, en déclarant que le droit d'habitation et d'usufruit vaut au minimum 246'723 fr. 35 et qu'il excède par conséquent de 146'723 fr. 35 le montant défini de la contre-prestation de la seconde épouse, la recourante se fonde sur un fait ni allégué, ni a fortiori établi qu'est la valeur des biens successifs, dont elle affirme à tort qu'il s'agit d'un " montant défini de la contreprestation " et dont on comprend implicitement que la recourante les chiffre à 100'000 fr. En définitive, la recourante corrige, selon sa propre appréciation et son propre calcul, le montant de la prestation faite par son défunt père à sa seconde épouse, en s'écartant des faits établis par l'autorité cantonale. Dans cette mesure son grief d'arbitraire dans l'établissement des faits est donc irrecevable, faute de motivation suffisante ( art. 106 al. 2 LTF ; cf. supra consid. 2). Enfin, compte tenu du constat de l'absence de libéralité résultant de la transaction du 15 juillet 1982, l'autorité précédente n'avait en conséquence pas à procéder à un calcul de réduction d'une "libéralité", a fortiori de tenir compte du montant de 100'000 fr. ou de 246'723 fr. 35. Vu ce qui précède, la Cour civile II du Tribunal cantonal valaisan n'a ni violé les art. 527 al. 1 ch.1 et 626 al. 2 CC, ni versé dans l'arbitraire ( art. 9 Cst. ) dans l'établissement des faits et l'appréciation des preuves, en niant la prétention en réduction comme conséquence de l'inexistence d'une dotation. Le reproche de la recourante doit ainsi être rejeté, dans la mesure de sa recevabilité.</w:t>
      </w:r>
    </w:p>
    <w:p>
      <w:r>
        <w:rPr>
          <w:b/>
        </w:rPr>
        <w:t>E. 4</w:t>
      </w:r>
    </w:p>
    <w:p>
      <w:r>
        <w:t>En conclusion, le recours, traité comme un recours en matière civile, doit être rejeté dans la mesure où il est recevable. Vu cette issue - prévisible - de la procédure, la requête d'assistance judiciaire formée par la recourante pour la procédure devant la cour de céans ne saurait être agréée ( art. 64 al. 1 LTF ). Les frais judiciaires sont mis à la charge de la recourante qui succombe ( art. 66 al. 1 LTF ). Il n'y a pas lieu d'octroyer une indemnité de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