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229/2020 vom 8. September 2020</w:t>
      </w:r>
    </w:p>
    <w:p>
      <w:r>
        <w:t>Bundesgericht, 2020-09-08, DE</w:t>
      </w:r>
    </w:p>
    <w:p>
      <w:r>
        <w:rPr>
          <w:b/>
        </w:rPr>
        <w:t xml:space="preserve">Quelle: </w:t>
      </w:r>
      <w:r>
        <w:t>https://mcp.opencaselaw.ch/entscheid/bger_5D_229_2020</w:t>
      </w:r>
    </w:p>
    <w:p>
      <w:r>
        <w:t>FR: TF 5D 229/2020 du 8 septembre 2020</w:t>
      </w:r>
    </w:p>
    <w:p>
      <w:r>
        <w:t>IT: TF 5D 229/2020 del 8 settembre 2020</w:t>
      </w:r>
    </w:p>
    <w:p>
      <w:pPr>
        <w:pStyle w:val="Heading2"/>
      </w:pPr>
      <w:r>
        <w:t>Regeste</w:t>
      </w:r>
    </w:p>
    <w:p>
      <w:r>
        <w:t>Definitive Rechtsöffnung | Schuldbetreibungs- und Konkursrecht</w:t>
      </w:r>
    </w:p>
    <w:p>
      <w:pPr>
        <w:pStyle w:val="Heading2"/>
      </w:pPr>
      <w:r>
        <w:t>Erwägungen</w:t>
      </w:r>
    </w:p>
    <w:p>
      <w:r>
        <w:rPr>
          <w:b/>
        </w:rPr>
        <w:t>E. 1</w:t>
      </w:r>
    </w:p>
    <w:p>
      <w:r>
        <w:t>Mit Entscheid vom 27. Mai 2020 erteilte das Bezirksgericht Hochdorf der Beschwerdegegnerin gegenüber dem Beschwerdeführer in der Betreibung Nr. xxx des Betreibungsamtes Ebikon-Dierikon-Adligenswil für bevorschusste Kinderunterhaltsbeiträge die definitive Rechtsöffnung für Fr. 5'400.-- nebst Zins. Als Rechtsöffnungstitel diente eine Verfügung der KESB Linth vom 21. Oktober 2016, mit der ein Unterhaltsvertrag genehmigt worden war. Gegen diesen Entscheid erhob der Beschwerdeführer am 9. Juni 2020 (Postaufgabe) Beschwerde beim Kantonsgericht Luzern. Mit Entscheid vom 21. Juli 2020 trat das Kantonsgericht auf die Beschwerde mangels genügender Begründung nicht ein. Gegen diesen Entscheid hat der Beschwerdeführer am 1. September 2020 (Postaufgabe)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müsste vor Bundesgericht aufzeigen, weshalb der angefochtene Nichteintretensentscheid gegen verfassungsmässige Rechte verstösst und weshalb das Kantonsgericht auf seine Beschwerde hätte eintreten müssen. Er setzt sich jedoch nicht damit auseinander, dass er seine kantonale Beschwerde ungenügend begründet hat. Stattdessen macht er geltend, er werde kein Urteil hinnehmen, solange kein Gericht den Vaterschaftsnachweis erbringen könne. Zudem gebe es keinen Unterhaltsvertrag, sondern bloss eine nicht verbindliche Verfügung der KESB. Das Kantonsgericht hat erwogen, dass die Genehmigungsverfügung der KESB rechtskräftig sei und im Rahmen der Rechtsöffnung nicht überprüft werden könne und der Beschwerdeführer die Verfügung hätte anfechten müssen. Indem er hinsichtlich der Rechtskraft der Verfügung bloss in unsubstantiierter Weise das Gegenteil behauptet, genügt er den Rügeanforderungen nicht. Die Beschwerde enthält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