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229/2019 vom 6. Januar 2020</w:t>
      </w:r>
    </w:p>
    <w:p>
      <w:r>
        <w:t>Bundesgericht, 2020-01-06, DE</w:t>
      </w:r>
    </w:p>
    <w:p>
      <w:r>
        <w:rPr>
          <w:b/>
        </w:rPr>
        <w:t xml:space="preserve">Quelle: </w:t>
      </w:r>
      <w:r>
        <w:t>https://mcp.opencaselaw.ch/entscheid/bger_5D_229_2019</w:t>
      </w:r>
    </w:p>
    <w:p>
      <w:r>
        <w:t>FR: TF 5D 229/2019 du 6 janvier 2020</w:t>
      </w:r>
    </w:p>
    <w:p>
      <w:r>
        <w:t>IT: TF 5D 229/2019 del 6 gennaio 2020</w:t>
      </w:r>
    </w:p>
    <w:p>
      <w:pPr>
        <w:pStyle w:val="Heading2"/>
      </w:pPr>
      <w:r>
        <w:t>Regeste</w:t>
      </w:r>
    </w:p>
    <w:p>
      <w:r>
        <w:t>Unentgeltliche Rechtspflege (Rechtsöffnungsverfahren)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). Bei Entscheiden betreffend unentgeltliche Rechtspflege folgt der Rechtsweg demjenigen der Hauptsache (zuletzt Urteil 5D_56/2019 vom 25. Juli 2019 E. 3 m.w.H.). Vorliegend ist mithin einzig die subsidiäre Verfassungsbeschwerde gegeben (vgl. paralleles Urteil 5A_228/2019 E. 1), mit der ausschliesslich die Verletzung verfassungsmässiger Rechte geltend gemacht werden kann ( Art. 116 BGG ).</w:t>
      </w:r>
    </w:p>
    <w:p>
      <w:r>
        <w:rPr>
          <w:b/>
        </w:rPr>
        <w:t>E. 2</w:t>
      </w:r>
    </w:p>
    <w:p>
      <w:r>
        <w:t>Die Beschwerde enthält weder ein Rechtsbegehren noch eine Bezugnahme auf den angefochtenen Entscheid, geschweige denn Verfassungsrügen; sie besteht aus (nicht mit denjenigen in der Beschwerde 5A_228/2019 identischen) Bibelzitaten und dem Statement, dass man persönlich vor Gericht aussage.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