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228/2023 vom 15. Dezember 2023</w:t>
      </w:r>
    </w:p>
    <w:p>
      <w:r>
        <w:t>Bundesgericht, 2023-12-15, DE</w:t>
      </w:r>
    </w:p>
    <w:p>
      <w:r>
        <w:rPr>
          <w:b/>
        </w:rPr>
        <w:t xml:space="preserve">Quelle: </w:t>
      </w:r>
      <w:r>
        <w:t>https://mcp.opencaselaw.ch/entscheid/bger_5D_228_2023</w:t>
      </w:r>
    </w:p>
    <w:p>
      <w:r>
        <w:t>FR: TF 5D 228/2023 du 15 décembre 2023</w:t>
      </w:r>
    </w:p>
    <w:p>
      <w:r>
        <w:t>IT: TF 5D 228/2023 del 15 dicembre 2023</w:t>
      </w:r>
    </w:p>
    <w:p>
      <w:pPr>
        <w:pStyle w:val="Heading2"/>
      </w:pPr>
      <w:r>
        <w:t>Regeste</w:t>
      </w:r>
    </w:p>
    <w:p>
      <w:r>
        <w:t>Definitive Rechtsöffnung | Schuldbetreibungs- und Konkursrecht</w:t>
      </w:r>
    </w:p>
    <w:p>
      <w:pPr>
        <w:pStyle w:val="Heading2"/>
      </w:pPr>
      <w:r>
        <w:t>Erwägungen</w:t>
      </w:r>
    </w:p>
    <w:p>
      <w:r>
        <w:rPr>
          <w:b/>
        </w:rPr>
        <w:t>E. 1</w:t>
      </w:r>
    </w:p>
    <w:p>
      <w:r>
        <w:t>Mit Urteil vom 21. September 2023 erteilte das Bezirksgericht Hinwil dem Beschwerdegegner gegenüber dem Beschwerdeführer in der Betreibung Nr. xxx des Betreibungsamtes Hinwil - gestützt auf einen Strafbefehl - die definitive Rechtsöffnung für Fr. 500.--. Dagegen erhob der Beschwerdeführer am 26. Oktober 2023 Beschwerde. Mit Urteil vom 14. November 2023 wies das Obergericht des Kantons Zürich die Beschwerde ab. Am 11. Dezember 2023 hat der Beschwerdeführer Beschwerde an das Bundesgericht erhoben.</w:t>
      </w:r>
    </w:p>
    <w:p>
      <w:r>
        <w:rPr>
          <w:b/>
        </w:rPr>
        <w:t>E. 2</w:t>
      </w:r>
    </w:p>
    <w:p>
      <w:r>
        <w:t>Aufgrund des unter Fr. 30'000.-- liegenden Streitwerts ( Art. 74 Abs. 1 lit. b BGG ) und mangels Vorliegens einer Rechtsfrage von grundsätzlicher Bedeutung ( Art. 74 Abs. 2 lit. a BGG ) ist einzig die subsidiäre Verfassungsbeschwerde gegeben ( Art. 113 ff. BGG ). Anfechtbar ist einzig das Urteil des Obergerichts. Der Beschwerdeführer wendet sich zusätzlich gegen die Urteile und Verfügungen unterer Instanzen und gegen Strafbefehle und fordert deren Aufhebung. Alle diese Entscheide können vor Bundesgericht nicht angefochten werden (Art. 114 i.V.m. Art. 75, Art. 80 BGG ).</w:t>
      </w:r>
    </w:p>
    <w:p>
      <w:r>
        <w:rPr>
          <w:b/>
        </w:rPr>
        <w:t>E. 3</w:t>
      </w:r>
    </w:p>
    <w:p>
      <w:r>
        <w:t>Mit der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 Der Beschwerdeführer nennt keine verfassungsmässigen Rechte, die verletzt worden sein sollen. Er setzt sich auch nicht im Einzelnen mit den Erwägungen des Obergerichts auseinander. Insbesondere genügt die unbelegte Behauptung nicht, er habe die Busse an jedem möglichen Zeitpunkt angefochten.</w:t>
      </w:r>
    </w:p>
    <w:p>
      <w:r>
        <w:rPr>
          <w:b/>
        </w:rPr>
        <w:t>E. 4</w:t>
      </w:r>
    </w:p>
    <w:p>
      <w:r>
        <w:t>Die Beschwerde ist offensichtlich unzulässig und sie enthält offensichtlich keine hinreichende Begründung. Der Abteilungspräsident tritt auf sie im vereinfachten Verfahren nicht ein (Art. 117 i.V.m. Art. 108 Abs. 1 lit. a und b BGG ).</w:t>
      </w:r>
    </w:p>
    <w:p>
      <w:r>
        <w:rPr>
          <w:b/>
        </w:rPr>
        <w:t>E. 5</w:t>
      </w:r>
    </w:p>
    <w:p>
      <w:r>
        <w:t>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