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228/2017 vom 16. November 2017</w:t>
      </w:r>
    </w:p>
    <w:p>
      <w:r>
        <w:t>Bundesgericht, 2017-11-16, DE</w:t>
      </w:r>
    </w:p>
    <w:p>
      <w:r>
        <w:rPr>
          <w:b/>
        </w:rPr>
        <w:t xml:space="preserve">Quelle: </w:t>
      </w:r>
      <w:r>
        <w:t>https://mcp.opencaselaw.ch/entscheid/bger_5D_228_2017</w:t>
      </w:r>
    </w:p>
    <w:p>
      <w:r>
        <w:t>FR: TF 5D 228/2017 du 16 novembre 2017</w:t>
      </w:r>
    </w:p>
    <w:p>
      <w:r>
        <w:t>IT: TF 5D 228/2017 del 16 novembre 2017</w:t>
      </w:r>
    </w:p>
    <w:p>
      <w:pPr>
        <w:pStyle w:val="Heading2"/>
      </w:pPr>
      <w:r>
        <w:t>Regeste</w:t>
      </w:r>
    </w:p>
    <w:p>
      <w:r>
        <w:t>Definitive Rechtsöffnung | Schuldbetreibungs- und Konkursrecht</w:t>
      </w:r>
    </w:p>
    <w:p>
      <w:pPr>
        <w:pStyle w:val="Heading2"/>
      </w:pPr>
      <w:r>
        <w:t>Erwägungen</w:t>
      </w:r>
    </w:p>
    <w:p>
      <w:r>
        <w:rPr>
          <w:b/>
        </w:rPr>
        <w:t>E. 1</w:t>
      </w:r>
    </w:p>
    <w:p>
      <w:r>
        <w:t>Das Bezirksgericht Schwyz erteilte der Beschwerdegegnerin gegenüber dem Beschwerdeführer mit Verfügung vom 11. September 2017 in der Betreibung Nr. xxx des Betreibungsamts Schwyz definitive Rechtsöffnung für den Betrag von Fr. 383.-- nebst Zins zu 3 % seit 15. Juni 2017 und aufgelaufenen Zins von Fr. 45.80. Als Rechtsöffnungstitel diente die Ermessensveranlagung der Steuerverwaltung des Kantons Schwyz vom 15. November 2016. Gegen den Rechtsöffnungsentscheid erhob der Beschwerdeführer am 13. Oktober 2017 Beschwerde an das Kantonsgericht Schwyz. Das Kantonsgericht trat auf die Beschwerde mit Verfügung vom 31. Oktober 2017 mangels genügenden Rechtsbegehrens und mangels genügender Begründung nicht ein. Gegen diese Verfügung ist der Beschwerdeführer mit Eingabe vom 10. November 2017 an das Bundesgericht gelangt.</w:t>
      </w:r>
    </w:p>
    <w:p>
      <w:r>
        <w:rPr>
          <w:b/>
        </w:rPr>
        <w:t>E. 2</w:t>
      </w:r>
    </w:p>
    <w:p>
      <w:r>
        <w:t>Aufgrund des tiefen Streitwerts ( Art. 74 Abs. 1 lit. b BGG ) und mangels Vorliegens einer Rechtsfrage von grundsätzlicher Bedeutung ( Art. 74 Abs. 2 lit. a BGG ) ist die Eingabe als subsidiäre Verfassungsbeschwerde entgegenzunehmen ( Art. 113 ff. BGG ). 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3.1 S. 399).</w:t>
      </w:r>
    </w:p>
    <w:p>
      <w:r>
        <w:rPr>
          <w:b/>
        </w:rPr>
        <w:t>E. 3</w:t>
      </w:r>
    </w:p>
    <w:p>
      <w:r>
        <w:t>Der Beschwerdeführer bringt vor, für den Streitwert (Geld) würden täglich Menschen ermordet, das Bundesgericht lüge, um die Behörden zu schützen, die Behörden sollten ihre Fehler eingestehen und seine Anklagen und Aufträge seien zu erledigen, wobei die Kosten zu Lasten des Verursachers gingen. Eine Auseinandersetzung mit der angefochtenen Verfügung fehlt damit offensichtlich und der Beschwerdeführer zeigt nicht ansatzweise auf, welche verfassungsmässigen Rechte verletzt worden sein sollen. Die Verfassungsbeschwerde erweist sich somit als offensichtlich ungenügend begründet. Auf sie ist im vereinfachten Verfahren gemäss Art. 117 i.V.m. Art. 108 Abs. 1 lit. b BGG durch das präsidierende Mitglied der Abteilung nicht einzutreten.</w:t>
      </w:r>
    </w:p>
    <w:p>
      <w:r>
        <w:rPr>
          <w:b/>
        </w:rPr>
        <w:t>E. 4</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