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5D_227/2023 vom 21. Dezember 2023</w:t>
      </w:r>
    </w:p>
    <w:p>
      <w:r>
        <w:t>Bundesgericht, 2023-12-21, FR</w:t>
      </w:r>
    </w:p>
    <w:p>
      <w:r>
        <w:rPr>
          <w:b/>
        </w:rPr>
        <w:t xml:space="preserve">Quelle: </w:t>
      </w:r>
      <w:r>
        <w:t>https://mcp.opencaselaw.ch/entscheid/bger_5D_227_2023</w:t>
      </w:r>
    </w:p>
    <w:p>
      <w:r>
        <w:t>FR: TF 5D_227/2023 du 21 décembre 2023</w:t>
      </w:r>
    </w:p>
    <w:p>
      <w:r>
        <w:t>IT: TF 5D_227/2023 del 21 dicembre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prononcé du 16 mai 2023, le Tribunal régional du Littoral et du Val-de-Travers a levé définitivement, à concurrence de 25'189 fr. 05 plus intérêts à 8 % dès le 30 juillet 2022 et de 3'280 fr. 20, l'opposition formée par A.________ au commandement de payer notifié à la réquisition de l'État de Neuchâtel (</w:t>
      </w:r>
    </w:p>
    <w:p>
      <w:r>
        <w:t>poursuite n° yyy de l'Office des poursuites à La Chaux-de-Fonds).</w:t>
      </w:r>
    </w:p>
    <w:p>
      <w:r>
        <w:rPr>
          <w:b/>
        </w:rPr>
        <w:t>E. 1.2</w:t>
      </w:r>
    </w:p>
    <w:p>
      <w:r>
        <w:t>Par ordonnance du 9 novembre 2023, le Président de l'Autorité de recours en matière civile du Tribunal cantonal du canton de Neuchâtel a ordonné le classement du dossier pour non-paiement de l'avance de frais requise, "</w:t>
      </w:r>
    </w:p>
    <w:p>
      <w:r>
        <w:t>malgré les deux prolongations de délai accordées ".</w:t>
      </w:r>
    </w:p>
    <w:p>
      <w:r>
        <w:rPr>
          <w:b/>
        </w:rPr>
        <w:t>E. 2</w:t>
      </w:r>
    </w:p>
    <w:p>
      <w:r>
        <w:t>Par écriture mise à la poste le 7 décembre 2023, le poursuivi formule une "</w:t>
      </w:r>
    </w:p>
    <w:p>
      <w:r>
        <w:t>opposition " au Tribunal fédéral contre la décision cantonale.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Compte tenu de l'insuffisance de la valeur litigieuse et de l'absence de question juridique de principe (art. 74 al. 1 let. b et al. 2 let. a LTF), la présente écriture est traitée comme recours constitutionnel subsidiaire au sens des art. 113 ss LTF . Il apparaît superflu d'examiner les autres conditions de recevabilité, ce procédé étant voué à l'échec.</w:t>
      </w:r>
    </w:p>
    <w:p>
      <w:r>
        <w:rPr>
          <w:b/>
        </w:rPr>
        <w:t>E. 4.1</w:t>
      </w:r>
    </w:p>
    <w:p>
      <w:r>
        <w:t>Le recours est d'emblée irrecevable dans la mesure où il renvoie à l'argumentation développée dans l'acte de recours cantonal ( ATF 133 II 396 consid. 3.1 et les arrêts cités).</w:t>
      </w:r>
    </w:p>
    <w:p>
      <w:r>
        <w:rPr>
          <w:b/>
        </w:rPr>
        <w:t>E. 4.2</w:t>
      </w:r>
    </w:p>
    <w:p>
      <w:r>
        <w:t>De surcroît, le recourant ne soulève pas le moindre grief de nature constitutionnelle ( art. 116 LTF ) à l'encontre du motif de non-entrée en matière retenu par le juge précédent (</w:t>
      </w:r>
    </w:p>
    <w:p>
      <w:r>
        <w:t>cf . art. 101 al. 3 CPC , en relation avec l' art. 59 al. 2 let . f CPC), mais conteste la validité de la poursuite introduite à son encontre en raison de la solidarité qu'il forme avec son épouse. Il s'ensuit que le recours est entièrement irrecevable ( art. 106 al. 2 LTF , par renvoi de l' art. 117 LTF ;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et art. 117 LTF ), aux frais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