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227/2019 vom 20. Dezember 2019</w:t>
      </w:r>
    </w:p>
    <w:p>
      <w:r>
        <w:t>Bundesgericht, 2019-12-20, FR</w:t>
      </w:r>
    </w:p>
    <w:p>
      <w:r>
        <w:rPr>
          <w:b/>
        </w:rPr>
        <w:t xml:space="preserve">Quelle: </w:t>
      </w:r>
      <w:r>
        <w:t>https://mcp.opencaselaw.ch/entscheid/bger_5D_227_2019</w:t>
      </w:r>
    </w:p>
    <w:p>
      <w:r>
        <w:t>FR: TF 5D 227/2019 du 20 décembre 2019</w:t>
      </w:r>
    </w:p>
    <w:p>
      <w:r>
        <w:t>IT: TF 5D 227/2019 del 20 dicembre 2019</w:t>
      </w:r>
    </w:p>
    <w:p>
      <w:pPr>
        <w:pStyle w:val="Heading2"/>
      </w:pPr>
      <w:r>
        <w:t>Regeste</w:t>
      </w:r>
    </w:p>
    <w:p>
      <w:r>
        <w:t>avance de frais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5 décembre 2019, la Chambre civile de la Cour de justice du canton de Genève a imparti à A.________ un délai au 21 janvier 2020 pour effectuer une avance de frais de 800 fr. dans le cadre du recours formé contre un jugement rendu le 19 novembre 2019 ( n° JTPI/16453/2019 ); cette décision indique que le montant réclamé correspond aux frais judiciaires prévisibles ( cf . art. 95 al. 1 let. a CPC ), auxquels pourraient s'ajouter les dépens éventuellement alloués à son adverse partie ( cf . art. 95 al. 1 let. b CPC ), et informe l'intéressé sur la possibilité de requérir l'assistance judiciaire ( cf . art. 117 ss CPC ).</w:t>
      </w:r>
    </w:p>
    <w:p>
      <w:r>
        <w:rPr>
          <w:b/>
        </w:rPr>
        <w:t>E. 2</w:t>
      </w:r>
    </w:p>
    <w:p>
      <w:r>
        <w:t>Par écriture expédiée le 16 décembre 2019, A.________ interjette un recours en matière " civile et de droit public " et " vraisemblablement aussi de droit pénal ". Des observations n'ont pas été requises.</w:t>
      </w:r>
    </w:p>
    <w:p>
      <w:r>
        <w:rPr>
          <w:b/>
        </w:rPr>
        <w:t>E. 3</w:t>
      </w:r>
    </w:p>
    <w:p>
      <w:r>
        <w:t>La présente écriture, traitée comme recours constitutionnel subsidiaire au sens des art. 113 ss LTF , est manifestement irrecevable: d'une part, le recourant n'expose pas en quoi la décision incidente attaquée serait de nature à lui causer un préjudice (juridique) irréparable ( art. 93 al. 1 let. a LTF , par renvoi de l' art. 117 LTF ; ATF 142 III 798 , avec les arrêts cités); d'autre part, il ne soulève (derechef) aucun grief intelligible - de nature constitutionnelle ( art. 116 LTF ) - contre cette décision ( art. 106 al. 2 LTF , par renvoi de l' art. 117 LTF ; ATF 136 I 332 consid. 2.1 et les références citées).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 . aet b LTF, applicable par renvoi de l' art. 117 LTF ), aux frais de son auteur ( art. 66 al. 1 LTF ). Le recourant, qui s'obstine à saisir le Tribunal fédéral de recours constamment irrecevables (pour s'en tenir aux plus récents: arrêts 5D_213/2019; 5D_141/2019; 5D_90/2019; 5D_91/2019; 5A_289/2018; 6B_1369/2017; 1F_32/2017; 1C_352/2017; 5D_115/2015; 5D_20/2015; 5D_101/2014; 5D_102/2014), est expressément informé qu'il s'expose à voir ses écritures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