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225/2023 vom 12. Dezember 2023</w:t>
      </w:r>
    </w:p>
    <w:p>
      <w:r>
        <w:t>Bundesgericht, 2023-12-12, DE</w:t>
      </w:r>
    </w:p>
    <w:p>
      <w:r>
        <w:rPr>
          <w:b/>
        </w:rPr>
        <w:t xml:space="preserve">Quelle: </w:t>
      </w:r>
      <w:r>
        <w:t>https://mcp.opencaselaw.ch/entscheid/bger_5D_225_2023</w:t>
      </w:r>
    </w:p>
    <w:p>
      <w:r>
        <w:t>FR: TF 5D 225/2023 du 12 décembre 2023</w:t>
      </w:r>
    </w:p>
    <w:p>
      <w:r>
        <w:t>IT: TF 5D 225/2023 del 12 dicembre 2023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Rechtsöffnungsentscheid, dessen Streitwert unter Fr. 30'000.-- liegt; mithin ist nicht die Beschwerde in Zivilsachen, sondern die subsidiäre Verfassungsbeschwerde gegeben (Art. 72 Abs. 2 lit. a, Art. 74 Abs. 1 lit. b, Art. 75 Abs. 1, Art. 90 und Art. 113 BGG ). Mit dieser kann nur die Verletzung verfassungsmässiger Rechte gerügt werden ( Art. 116 BGG ), wofür das strenge Rügeprinzip gilt (Art. 117 i.V.m. Art. 106 Abs. 2 BGG ).</w:t>
      </w:r>
    </w:p>
    <w:p>
      <w:r>
        <w:rPr>
          <w:b/>
        </w:rPr>
        <w:t>E. 2</w:t>
      </w:r>
    </w:p>
    <w:p>
      <w:r>
        <w:t>Die Beschwerdeführerin beschränkt sich auf stichwortartige Bemerkungen (wie "IV + EL seit 1996!" oder "exakt") direkt im angefochtenen Entscheid sowie auf die Aussage auf dem obergerichtlichen Begleitbrief zum angefochtenen Entscheid: "Ich erhebe Einsprache gegen alle Verfügungen und Beschlüsse!".</w:t>
      </w:r>
    </w:p>
    <w:p>
      <w:r>
        <w:rPr>
          <w:b/>
        </w:rPr>
        <w:t>E. 3</w:t>
      </w:r>
    </w:p>
    <w:p>
      <w:r>
        <w:t>Damit mangelt es der Beschwerde sowohl an einem Rechtsbegehren als auch an jeglicher Begründung,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