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5D_223/2020 vom 16. September 2020</w:t>
      </w:r>
    </w:p>
    <w:p>
      <w:r>
        <w:t>Bundesgericht, 2020-09-16, DE</w:t>
      </w:r>
    </w:p>
    <w:p>
      <w:r>
        <w:rPr>
          <w:b/>
        </w:rPr>
        <w:t xml:space="preserve">Quelle: </w:t>
      </w:r>
      <w:r>
        <w:t>https://mcp.opencaselaw.ch/entscheid/bger_5D_223_2020</w:t>
      </w:r>
    </w:p>
    <w:p>
      <w:r>
        <w:t>FR: TF 5D_223/2020 du 16 septembre 2020</w:t>
      </w:r>
    </w:p>
    <w:p>
      <w:r>
        <w:t>IT: TF 5D_223/2020 del 16 settembre 2020</w:t>
      </w:r>
    </w:p>
    <w:p>
      <w:pPr>
        <w:pStyle w:val="Heading2"/>
      </w:pPr>
      <w:r>
        <w:t>Erwägungen</w:t>
      </w:r>
    </w:p>
    <w:p>
      <w:r>
        <w:rPr>
          <w:b/>
        </w:rPr>
        <w:t>E. 1</w:t>
      </w:r>
    </w:p>
    <w:p>
      <w:r>
        <w:t>Mit Entscheid vom 17. März 2020 erteilte das Kantonsgericht Obwalden dem Beschwerdegegner gegenüber der Beschwerdeführerin in der Betreibung Nr. xxx des Betreibungsamtes Obwalden die definitive Rechtsöffnung für Fr. 640.-- nebst Zins. Als Rechtsöffnungstitel diente ein Strafbefehl der Staatsanwaltschaft des Kantons Obwalden vom 31. Juli 2019.</w:t>
      </w:r>
    </w:p>
    <w:p>
      <w:r>
        <w:t>Gegen diesen Entscheid erhob die Beschwerdeführerin am 24. April 2020 Beschwerde beim Obergericht des Kantons Obwalden. Mit Entscheid vom 5. August 2020 wies das Obergericht die Beschwerde ab und bestätigte den angefochtenen Entscheid.</w:t>
      </w:r>
    </w:p>
    <w:p>
      <w:r>
        <w:t>Am 14. August 2020 hat sich die Beschwerdeführerin an das Obergericht gewandt. Am 20. August 2020 (Postaufgabe) hat das Obergericht die Eingabe samt den Akten dem Bundesgericht zugestellt zur Prüfung, ob die Eingabe als Beschwerde an das Bundesgericht entgegenzunehmen sei ( Art. 48 Abs. 3 BGG ).</w:t>
      </w:r>
    </w:p>
    <w:p>
      <w:r>
        <w:rPr>
          <w:b/>
        </w:rPr>
        <w:t>E. 2</w:t>
      </w:r>
    </w:p>
    <w:p>
      <w:r>
        <w:t>Der Eingabe der Beschwerdeführerin an das Obergericht ist ein hinreichender Beschwerdewille zu entnehmen.</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Die Beschwerdeführerin legt nicht dar, inwieweit der obergerichtliche Entscheid gegen verfassungsmässige Rechte verstossen soll. Stattdessen macht sie geltend, das Kantonsgericht habe das laufende Verfahren am 30. April 2020 für rechtskräftig und abgeschlossen befunden, inklusive nicht geschuldete Forderung der Staatsanwaltschaft. Sie bezieht sich damit auf eine Aktenrücksendung des Kantonsgerichts vom 30. April 2020 in abgeschlossenen Rechtsöffnungsverfahren. Das vorliegende Rechtsöffnungsverfahren ist davon nicht betroffen. Was die Beschwerdeführerin aus anderen Verfahren für das vorliegende Verfahren ableiten will, erschliesst sich nicht.</w:t>
      </w:r>
    </w:p>
    <w:p>
      <w:r>
        <w:t>Die Beschwerde enthält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