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222/2019 vom 20. Dezember 2019</w:t>
      </w:r>
    </w:p>
    <w:p>
      <w:r>
        <w:t>Bundesgericht, 2019-12-20, FR</w:t>
      </w:r>
    </w:p>
    <w:p>
      <w:r>
        <w:rPr>
          <w:b/>
        </w:rPr>
        <w:t xml:space="preserve">Quelle: </w:t>
      </w:r>
      <w:r>
        <w:t>https://mcp.opencaselaw.ch/entscheid/bger_5D_222_2019</w:t>
      </w:r>
    </w:p>
    <w:p>
      <w:r>
        <w:t>FR: TF 5D 222/2019 du 20 décembre 2019</w:t>
      </w:r>
    </w:p>
    <w:p>
      <w:r>
        <w:t>IT: TF 5D 222/2019 del 20 dicembre 2019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30 septembre 2019, le Président du Tribunal civil de la Veveyse a levé définitivement, à concurrence de 7'540 fr. en capital, l'opposition formée par A.________ au commandement de payer que lui a fait notifier l'Etat de Vaud ( poursuite n° xxx'xxx de l'Office des poursuites de la Veveyse ). Par arrêt du 7 novembre 2019, la IIe Cour d'appel civil du Tribunal cantonal de l'Etat de Fribourg a déclaré irrecevable, faute de motivation conforme à l' art. 321 al. 1 CPC , le recours du poursuivi.</w:t>
      </w:r>
    </w:p>
    <w:p>
      <w:r>
        <w:rPr>
          <w:b/>
        </w:rPr>
        <w:t>E. 2</w:t>
      </w:r>
    </w:p>
    <w:p>
      <w:r>
        <w:t>Par écriture mise à la poste le 14 décembre 2019, le poursuivi exerce un recours au Tribunal fédéral contre l'arrêt cantonal. Des observations n'ont pas été requises.</w:t>
      </w:r>
    </w:p>
    <w:p>
      <w:r>
        <w:rPr>
          <w:b/>
        </w:rPr>
        <w:t>E. 3</w:t>
      </w:r>
    </w:p>
    <w:p>
      <w:r>
        <w:t>La présente écriture doit être traitée en tant que recours constitutionnel subsidiaire au sens des art. 113 ss LTF , vu l'insuffisance de la valeur litigieuse ( art. 74 al. 1 let. b LTF ) et l'absence de question juridique de principe ( art. 74 al. 2 let. a LTF ).</w:t>
      </w:r>
    </w:p>
    <w:p>
      <w:r>
        <w:rPr>
          <w:b/>
        </w:rPr>
        <w:t>E. 4.1</w:t>
      </w:r>
    </w:p>
    <w:p>
      <w:r>
        <w:t>L'acte de recours, en plus d'être difficilement compréhensible, ne contient pas la moindre argumentation tendant à démontrer en quoi le motif d'irrecevabilité retenu par l'autorité précédente violerait les droits constitutionnels du recourant ( art. 116 LTF ); l'intéressé ne dénonce aucune application arbitraire ( art. 9 Cst. ) de l' art. 321 al. 1 CPC ( cf . sur cette notion: ATF 144 I 318 consid. 5.4) ou contraire à d'autres droits constitutionnels ( art. 29 al. 1 et 2 Cst. ; formalisme excessif, droit d'être entendu, etc.), mais se borne à affirmer que les revenus qui lui ont été attribués seraient " erronés ". Il s'ensuit que le recours doit être écarté d'emblée dans cette mesure ( ATF 136 I 332 consid. 2.1).</w:t>
      </w:r>
    </w:p>
    <w:p>
      <w:r>
        <w:rPr>
          <w:b/>
        </w:rPr>
        <w:t>E. 4.2</w:t>
      </w:r>
    </w:p>
    <w:p>
      <w:r>
        <w:t>Le recourant s'en prend en outre aux " frais juridiques imputés ", en renvoyant à cet égard à un " document 1 ". Sur ce point, il n'invoque pas davantage de droit constitutionnel que l'autorité précédente aurait violé; le simple renvoi à une pièce du dossier cantonal ne saurait constituer une motivation suffisante ( ATF 133 II 396 consid. 3.1, avec les arrêts cités). Au demeurant, la pièce en question ( i.e. décision du Président du Tribunal civil de l'arrondissement de la Broye et du Nord vaudois du 20 novembre 2019) se rapporte à l'octroi de l'assistance judiciaire dans une cause de " divorce sur demande unilatérale "; elle ne revêt dès lors aucune pertinence pour la présente procédure de mainlevée.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 . bet 117 LTF). Comme les conclusions du recourant étaient manifestement vouées à l'échec, il se justifie de rejeter sa requête d'assistance judiciaire et de mettre à sa charge les frais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