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5D_222/2017 vom 28. November 2017</w:t>
      </w:r>
    </w:p>
    <w:p>
      <w:r>
        <w:t>Bundesgericht, 2017-11-28, FR</w:t>
      </w:r>
    </w:p>
    <w:p>
      <w:r>
        <w:rPr>
          <w:b/>
        </w:rPr>
        <w:t xml:space="preserve">Quelle: </w:t>
      </w:r>
      <w:r>
        <w:t>https://mcp.opencaselaw.ch/entscheid/bger_5D_222_2017</w:t>
      </w:r>
    </w:p>
    <w:p>
      <w:r>
        <w:t>FR: TF 5D_222/2017 du 28 novembre 2017</w:t>
      </w:r>
    </w:p>
    <w:p>
      <w:r>
        <w:t>IT: TF 5D_222/2017 del 28 novembre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25 septembre 2017 (n° 102 2017 244), la IIe Cour d'appel civil du Tribunal cantonal de l'État de Fribourg a déclaré irrecevable le recours interjeté le 18 août 2017 par A.________ à l'encontre de la décision rendue le 6 juillet 2017 par le Président du tribunal civil de l'arrondissement de la Sarine déclarant irrecevables une requête de mesures superprovisionnelles et une action en annulation de la poursuite déposée le 2 juillet 2017 par A.________.</w:t>
      </w:r>
    </w:p>
    <w:p>
      <w:r>
        <w:t>La cour cantonale a relevé que le recours de A.________ reposait sur des allégations de faits et de preuves nouvelles ( art. 326 al. 1 CPC ), que les conclusions qui dépassaient l'objet du litige étaient d'emblée irrecevables et que, pour le surplus, le mémoire comportait des développements incompréhensibles mêlant plusieurs procédures et thèmes.</w:t>
      </w:r>
    </w:p>
    <w:p>
      <w:r>
        <w:rPr>
          <w:b/>
        </w:rPr>
        <w:t>E. 2</w:t>
      </w:r>
    </w:p>
    <w:p>
      <w:r>
        <w:t>Par acte du 9 novembre 2017, A.________ interjette un recours au Tribunal fédéral, comprenant trois requêtes de mesures provisionnelles urgentes, notamment l'octroi de l'effet suspensif au recours.</w:t>
      </w:r>
    </w:p>
    <w:p>
      <w:r>
        <w:t>Eu égard à la valeur litigieuse (150 fr.), le recours est traité comme un recours constitutionnel subsidiaire ( art. 113 LTF ). Le recours constitutionnel peut être exclusivement formé pour violation des droits constitutionnels ( art. 116 LTF ). Conformément à l' art. 106 al. 2 LTF (applicable en vertu du renvoi de l' art. 117 LTF ), le Tribunal fédéral ne connaît de la violation des droits fondamentaux - notion qui englobe les droits constitutionnels ( ATF 133 III 638 consid. 2) - que si un tel moyen a été invoqué et motivé par le recourant, à savoir exposé de manière claire et détaillée ( ATF 140 III 571 consid. 1.5).</w:t>
      </w:r>
    </w:p>
    <w:p>
      <w:r>
        <w:t>Dans son écriture, le recourant évoque diverses bases légales fédérales et cantonales - d'emblée irrecevables dans le cadre d'un recours constitutionnel subsidiaire - et plusieurs normes constitutionnelles (art. 9, 29 al. 1 et 30 al. 1 Cst.) mais il n'en développe aucune avec clarté et précision. Il s'ensuit que le recourant ne démontre pas de manière précise que la motivation de la décision cantonale querellée serait contraire à l'un de ses droits fondamentaux. Par conséquent, le recours ne satisfait nullement aux exigences accrues de motivation posées par les art. 106 al. 2 et 116 LTF , par renvoi de l' art. 117 LTF .</w:t>
      </w:r>
    </w:p>
    <w:p>
      <w:r>
        <w:t>De surcroît, le recours présente une fois de plus un caractère abusif au sens de l' art. 42 al. 7 LTF , de sorte qu'il doit également être déclaré irrecevable pour ce motif.</w:t>
      </w:r>
    </w:p>
    <w:p>
      <w:r>
        <w:t>En définitive, le recours doit être déclaré irrecevable selon la procédure simplifiée de l'art. 108 al. 1 let. b et c LTF, par renvoi de l' art. 117 LTF . L'issue du recours rend sans objet les trois requêtes de mesures provisionnelles du recourant, dont la demande d'effet suspensif.</w:t>
      </w:r>
    </w:p>
    <w:p>
      <w:r>
        <w:rPr>
          <w:b/>
        </w:rPr>
        <w:t>E. 3</w:t>
      </w:r>
    </w:p>
    <w:p>
      <w:r>
        <w:t>Les frais judiciaires, arrêtés à 1'000 fr., sont mis à la charge du recourant ( art. 66 al. 1 LTF ). Il ne lui est pas alloué d' " équitable indemnité ".</w:t>
      </w:r>
    </w:p>
    <w:p>
      <w:r>
        <w:t>Toute nouvelle écriture du même genre dans cette affaire, singulièrement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