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5D_221/2023 vom 6. Dezember 2023</w:t>
      </w:r>
    </w:p>
    <w:p>
      <w:r>
        <w:t>Bundesgericht, 2023-12-06, DE</w:t>
      </w:r>
    </w:p>
    <w:p>
      <w:r>
        <w:rPr>
          <w:b/>
        </w:rPr>
        <w:t xml:space="preserve">Quelle: </w:t>
      </w:r>
      <w:r>
        <w:t>https://mcp.opencaselaw.ch/entscheid/bger_5D_221_2023</w:t>
      </w:r>
    </w:p>
    <w:p>
      <w:r>
        <w:t>FR: TF 5D_221/2023 du 6 décembre 2023</w:t>
      </w:r>
    </w:p>
    <w:p>
      <w:r>
        <w:t>IT: TF 5D_221/2023 del 6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Beschwerdeführer hat die Beschwerde auf Französisch eingereicht, was zulässig ist ( Art. 42 Abs. 1 BGG ). Das vorliegende Urteil ergeht jedoch in der Sprache des angefochtenen Entscheids und damit auf Deutsch ( Art. 54 Abs. 1 BGG ).</w:t>
      </w:r>
    </w:p>
    <w:p>
      <w:r>
        <w:rPr>
          <w:b/>
        </w:rPr>
        <w:t>E. 2</w:t>
      </w:r>
    </w:p>
    <w:p>
      <w:r>
        <w:t>Aufgrund des unter Fr. 30'000.-- liegenden Streitwerts ( Art. 74 Abs. 1 lit. b BGG ) ist die Eingabe als subsidiäre Verfassungsbeschwerde entgegenzunehmen ( Art. 113 BGG ). Mit ihr kann nur die Verletzung verfassungsmässiger Rechte gerügt werden ( Art. 116 BGG ), wofür das strenge Rügeprinzip gilt (Art. 106 Abs. 2 i.V.m. Art. 117 BGG ).</w:t>
      </w:r>
    </w:p>
    <w:p>
      <w:r>
        <w:rPr>
          <w:b/>
        </w:rPr>
        <w:t>E. 3</w:t>
      </w:r>
    </w:p>
    <w:p>
      <w:r>
        <w:t>Der Beschwerdeführer macht keine Verfassungsverletzungen geltend. Ohnehin gehen seine Ausführungen an der Sache vorbei; in erster Linie erfolgen in gematrischer Weise vorgetragene weltverschwörerische und religiöse Aussagen und ferner wird sinngemäss festgehalten, der Rechtsstaat gelte offenbar nur für Unterhalts- und Steuerforderungen.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