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5D_219/2017 vom 24. August 2018</w:t>
      </w:r>
    </w:p>
    <w:p>
      <w:r>
        <w:t>Bundesgericht, 2018-08-24, FR</w:t>
      </w:r>
    </w:p>
    <w:p>
      <w:r>
        <w:rPr>
          <w:b/>
        </w:rPr>
        <w:t xml:space="preserve">Quelle: </w:t>
      </w:r>
      <w:r>
        <w:t>https://mcp.opencaselaw.ch/entscheid/bger_5D_219_2017</w:t>
      </w:r>
    </w:p>
    <w:p>
      <w:r>
        <w:t>FR: TF 5D_219/2017 du 24 août 2018</w:t>
      </w:r>
    </w:p>
    <w:p>
      <w:r>
        <w:t>IT: TF 5D_219/2017 del 24 agosto 2018</w:t>
      </w:r>
    </w:p>
    <w:p>
      <w:pPr>
        <w:pStyle w:val="Heading2"/>
      </w:pPr>
      <w:r>
        <w:t>Erwägungen</w:t>
      </w:r>
    </w:p>
    <w:p>
      <w:r>
        <w:rPr>
          <w:b/>
        </w:rPr>
        <w:t>E. 1</w:t>
      </w:r>
    </w:p>
    <w:p>
      <w:r>
        <w:t>Le Tribunal fédéral examine d'office la recevabilité du recours qui lui est soumis ( ATF 143 III 140 consid. 1 et la jurisprudence citée).</w:t>
      </w:r>
    </w:p>
    <w:p>
      <w:r>
        <w:rPr>
          <w:b/>
        </w:rPr>
        <w:t>E. 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w:t>
      </w:r>
    </w:p>
    <w:p>
      <w:r>
        <w:t>En tant qu'elle autorise les intimés à utiliser la parcelle du recourant afin d'effectuer des travaux de réfection sur la toiture de leur immeuble, il faut admettre que la décision entreprise est une décision finale ( art. 90 LTF ) et non incidente ainsi que le prétendent les intimés. Celle-ci constitue en effet une mesure d'exécution anticipée provisoire à caractère définitif dès lors qu'au-delà du stade des mesures provisionnelles, le litige est dépourvu d'intérêts: la mesure contestée ne fera donc pas l'objet d'une procédure de validation au fond.</w:t>
      </w:r>
    </w:p>
    <w:p>
      <w:r>
        <w:rPr>
          <w:b/>
        </w:rPr>
        <w:t>E. 1.2</w:t>
      </w:r>
    </w:p>
    <w:p>
      <w:r>
        <w:t>Le recours est dirigé contre une décision rendue en matière civile ( art. 72 al. 1 LTF ), dont le recourant prétend que la valeur litigieuse est de 15'000 fr., manifestement en référence à la valeur des sûretés à fournir par les intimés. Aucun élément du dossier ne permet de s'en écarter ( ATF 140 III 571 consid. 1.2), de sorte qu'il sera retenu qu'elle est en effet inférieure à 30'000 fr. ( art. 74 al. 1 let. b LTF ). A défaut de question juridique de principe au sens de l' art. 74 al. 2 let. a LTF ( art. 42 al. 2 LTF ; ATF 139 II 404 consid. 1.3) et d'autres exceptions prévues à l'art. 74 al. 2 let. b à e LTF, seule la voie du recours constitutionnel subsidiaire est en conséquence ouverte ( art. 113 ss LTF ). Celui-ci a été déposé en temps utile ( art. 100 al. 1 et 117 LTF ), contre une décision rendue par une autorité supérieure cantonale statuant sur recours ( art. 75 et 114 LTF ), et le recourant, qui a pris part à l'instance précédente, démontre un intérêt juridique à la modification de la décision attaquée ( art. 115 LTF ).</w:t>
      </w:r>
    </w:p>
    <w:p>
      <w:r>
        <w:rPr>
          <w:b/>
        </w:rPr>
        <w:t>E. 1.3</w:t>
      </w:r>
    </w:p>
    <w:p>
      <w:r>
        <w:t>Le recours en matière civile est un recours en réforme (cf. art. 107 al. 2 LTF ), en sorte que la partie recourante doit en principe prendre des conclusions sur le fond; elle ne peut s'en abstenir que si le Tribunal fédéral, dans l'hypothèse où il admettrait le recours, ne serait pas en mesure de statuer lui-même sur le fond ( ATF 134 III 379 consid. 1.3; 133 III 489 consid. 3.1). Le recourant reproche à la cour cantonale d'avoir octroyé la mesure contestée en appréciant arbitrairement certains faits pourtant déterminants dans la pesée des intérêts en présence. A supposer ce grief avéré, le Tribunal de céans devrait renvoyer la cause à l'autorité cantonale, si bien que les conclusions purement cassatoires du recourant sont exceptionnellement admissibles.</w:t>
      </w:r>
    </w:p>
    <w:p>
      <w:r>
        <w:rPr>
          <w:b/>
        </w:rPr>
        <w:t>E. 2</w:t>
      </w:r>
    </w:p>
    <w:p>
      <w:r>
        <w:t>La voie du recours constitutionnel subsidiaire ne change rien à la cognition du Tribunal fédéral dès lors que la décision attaquée porte sur des mesures provisionnelles au sens de l' art. 98 LTF et que la cour cantonale a de surcroît fait application du droit cantonal, singulièrement de l'art. 136 de la loi cantonale d'application du code civil suisse et d'autres lois fédérales en matière civile (LaCC/GE; RS GE 1 05). Seule la violation de droits constitutionnels peut en conséquence être invoquée. Le Tribunal fédéral n'examine de tels griefs que s'ils ont été invoqués et motivés ( "principe d'allégation ", art. 106 al. 2 LTF ), à savoir expressément soulevés et exposés de manière claire et détaillée ( ATF 139 I 229 consid. 2.2; 134 II 244 consid. 2.2, 349 consid. 3).</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et les références).</w:t>
      </w:r>
    </w:p>
    <w:p>
      <w:r>
        <w:rPr>
          <w:b/>
        </w:rPr>
        <w:t>E. 3</w:t>
      </w:r>
    </w:p>
    <w:p>
      <w:r>
        <w:t>La cour cantonale a relevé que la mesure requise, fondée sur l'art. 136 LaCC/GE (utilisation du fonds voisin) sur renvoi de l' art. 695 CC , relevait de l'exécution anticipée provisoire, de nature durable, dont l'intérêt disparaîtrait à l'issue de la procédure. Le caractère difficilement réparable du dommage que subissaient, voire subiraient les requérants, de même que la condition de l'urgence à intervenir, étaient vraisemblables. Il était par ailleurs notoire que le transport et l'élimination des gravats et autres déchets de chantier se pratiquait usuellement au moyen d'une sapine ou d'un autre dispositif mécanique, et non à dos d'homme. Bien qu'il ne fût exclu que l'on ne pût procéder autrement, il fallait ainsi admettre que la nécessité d'utiliser le fonds du recourant en vue de la réalisation des travaux envisagés était vraisemblable. Considérant qu'il était également rendu vraisemblable que l'activité de la société du recourant serait affectée par l'utilisation de son bien-fonds, lui occasionnant ainsi un dommage dont il pourrait être appelé à répondre, la cour cantonale a subordonné la mesure sollicitée par les intimés à la constitution préalable de sûretés d'un montant de 15'000 fr., montant prenant en considération la durée du chantier et la prétention réclamée par le recourant pour chaque jour d'utilisation.</w:t>
      </w:r>
    </w:p>
    <w:p>
      <w:r>
        <w:rPr>
          <w:b/>
        </w:rPr>
        <w:t>E. 4.1</w:t>
      </w:r>
    </w:p>
    <w:p>
      <w:r>
        <w:t>Le recourant reproche d'abord à la cour cantonale d'avoir manifestement omis d'impartir aux intimés un délai pour ouvrir action au fond ( art. 263 CPC ). Les mesures provisionnelles prononcées seraient ainsi revêtues de l'autorité de chose jugée matérielle, ce dont elles sont pourtant dépourvues par nature; lui-même se retrouverait par ailleurs contraint d'ouvrir action aux fins d'obtenir l'indemnité prévue par l'art. 136 LaCC, le paiement de celle-ci n'étant pas formellement garanti par les sûretés allouées par la cour cantonale aux termes du dispositif de l'arrêt entrepris. Arbitraire dans ses motifs et son résultat, la décision cantonale violerait ainsi également le principe d'égalité de traitement devant la loi. Le recourant reproche encore à la cour cantonale d'avoir apprécié arbitrairement les intérêts en présence et la légitimité de la prétention des intimés ( art. 261 CPC ) en s'abstenant d'examiner les autres possibilités offertes à ceux-ci, pourtant dûment alléguées; les juges cantonaux se seraient ainsi écartés sans justification des conditions posées par la jurisprudence s'agissant des mesures d'exécution anticipée provisoire.</w:t>
      </w:r>
    </w:p>
    <w:p>
      <w:r>
        <w:t>Les intimés affirment que la décision cantonale ne serait nullement arbitraire. Sous l'angle de la vraisemblance applicable aux mesures provisionnelles, la cour cantonale avait correctement apprécié les faits et moyens de preuves à sa disposition pour conclure à la nécessité d'utiliser la parcelle du recourant pour effectuer les travaux à réaliser sur leur parcelle. Ils relèvent au demeurant que le recourant n'aurait jamais contesté l'urgence de la situation, ni remis en cause l'interdiction d'accès à la toiture par l'escalier intérieur ainsi que les questions de sécurité soulevées par l'entreprise mandatée pour effectuer les travaux. Le caractère insoutenable du raisonnement cantonal n'était donc pas démontré.</w:t>
      </w:r>
    </w:p>
    <w:p>
      <w:r>
        <w:rPr>
          <w:b/>
        </w:rPr>
        <w:t>E. 4.2.1</w:t>
      </w:r>
    </w:p>
    <w:p>
      <w:r>
        <w:t>Selon l' art. 695 1 ère phr. CC, la législation cantonale peut régler la faculté réciproque des propriétaires d'emprunter le fonds voisin pour des travaux d'exploitation, de réparation ou de construction sur leur propre fonds. Cette disposition, qui aménage ainsi un " droit d'échelage ", comporte une réserve au sens propre en faveur du droit cantonal, souvent concrétisée dans les lois d'application ou d'introduction du code civil (STEINAUER, La mise à contribution du fonds voisin lors de travaux de construction, in DC 1990 31 ss, p. 32; BACHMANN, Das Hammerschlagsrecht, in PBG 2014 5 ss, p. 7). Celles-ci prévoient généralement que l'auteur des constructions doit indemniser le voisin pour le dommage qu'aurait causé l'exercice du droit d'échelage, cette indemnité devant compenser entièrement l'inconvénient résultant du fait qu'une certaine surface a été temporairement soustraite à l'utilisation du propriétaire. Des sûretés en garantie du paiement de cette indemnité peuvent également être exigées (STEINAUER, op. cit., p. 34 et les références; BACHMANN, op. cit., p. 22 s.). Selon l'art. 136 al. 1 LaCC/GE, le propriétaire d'une clôture ou d'une construction élevée à front de la ligne séparative peut ainsi, dans la mesure où cela est nécessaire pour l'édifier, la réparer ou la reconstruire, emprunter le fonds voisin pour ces constructions et réparations, moyennant avis préalable et indemnité pour le dommage causé. Il peut être tenu de fournir des sûretés avant le commencement des travaux ( art. 695 CC ).</w:t>
      </w:r>
    </w:p>
    <w:p>
      <w:r>
        <w:t>Le droit d'échelage donne non seulement la faculté d'utiliser provisoirement le fonds voisin pour y passer, mais également pour y déposer des matériaux ou des machines, ou pour y ériger un échafaudage ( ATF 104 II 166 consid. 3c). Ce droit d'utilisation provisoire n'existe toutefois que s'il est nécessaire pour que les travaux puissent être menés à bien (ATF 104 précité ibid.; cf. art. 136 al. 1 LaCC).</w:t>
      </w:r>
    </w:p>
    <w:p>
      <w:r>
        <w:rPr>
          <w:b/>
        </w:rPr>
        <w:t>E. 4.2.2</w:t>
      </w:r>
    </w:p>
    <w:p>
      <w:r>
        <w:t>Celui qui requiert des mesures provisionnelles doit rendre vraisemblable qu'une prétention dont il est titulaire est l'objet d'une atteinte - ou risque de l'être - et qu'il s'expose de ce fait à un préjudice difficilement réparable ( art. 261 al. 1 CPC ). Le requérant doit ainsi avant tout rendre vraisemblable que le droit matériel invoqué existe et que le procès a des chances de succès ( ATF 131 III 473 consid. 2.3), faute de quoi la requête doit être rejetée, sans qu'il soit nécessaire de passer à l'examen des conditions inscrites à l' art. 261 al. 1 let. a et b CPC (BOHNET, in Code de procédure civile commenté, 2011, n. 8 ad art. 261 CPC ).</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 ATF 138 III 378 consid. 6.4; 131 III 473 consid. 2.3).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 ATF 138 III 378 consid. 6.4 et les références; 131 III 473 consid. 3.2).</w:t>
      </w:r>
    </w:p>
    <w:p>
      <w:r>
        <w:rPr>
          <w:b/>
        </w:rPr>
        <w:t>E. 4.2.3</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 ATF 143 IV 380 consid. 1.1.1; 135 III 88 consid. 4.1 et les références citées).</w:t>
      </w:r>
    </w:p>
    <w:p>
      <w:r>
        <w:rPr>
          <w:b/>
        </w:rPr>
        <w:t>E. 4.3.1</w:t>
      </w:r>
    </w:p>
    <w:p>
      <w:r>
        <w:t>La mesure ordonnée par la cour cantonale est une mesure d'exécution anticipée provisoire à caractère définitif (consid. 1.1 supra) dès lors qu'une fois les travaux achevés, les intimés n'ont plus d'intérêt à utiliser la parcelle du recourant et à ouvrir ainsi action au fond. Cette circonstance explique l'absence de délai octroyé par la cour cantonale pour ce faire. La décision entreprise n'emporte donc sous cet angle aucune application arbitraire de l' art. 263 CPC (cf. également: GÜNGERICH, in Berner Kommentar, Schweizerische Zivilprozessordnung, vol. II, 2012, n. 10 ad art. 263 CPC ; SPRECHER, in Basler Kommentar ZPO, 3e éd. 2017, n. 13 ad art. 263 ZPO).</w:t>
      </w:r>
    </w:p>
    <w:p>
      <w:r>
        <w:t>Il n'y a pas lieu d'examiner la question de la prétendue nécessité d'agir aux fins de libérer les sûretés ainsi que le grief de violation de l' art. 8 Cst. qui lui est lié, vu les considérations qui suivent.</w:t>
      </w:r>
    </w:p>
    <w:p>
      <w:r>
        <w:rPr>
          <w:b/>
        </w:rPr>
        <w:t>E. 4.3.2</w:t>
      </w:r>
    </w:p>
    <w:p>
      <w:r>
        <w:t>Le caractère vraisemblable des conditions de la prétention au fond, singulièrement la nécessité d'utiliser le bien-fonds du recourant pour procéder aux travaux projetés, est litigieux.</w:t>
      </w:r>
    </w:p>
    <w:p>
      <w:r>
        <w:t>De toute évidence, le mode de transport et d'évacuation des gravats ne répond nullement aux critères du fait notoire sus-décrits. C'est donc arbitrairement que la cour cantonale s'est fondée sur cette prémisse, se dispensant d'examiner plus avant les griefs des intimés relatifs à une constatation supposément inexacte des faits sur ce point, pour d'une part, en conclure que les travaux projetés ne pouvaient s'effectuer par la force de l'homme et, ainsi, au travers de la parcelle des intimés, puis d'autre part, admettre le caractère vraisemblable de la nécessité d'utiliser la parcelle du recourant pour y installer une sapine. La conclusion cantonale est de surcroît contredite par les allégations mêmes des parties. Le recourant a en effet soutenu à cet égard que des travaux de réfection similaires avaient été menés sous l'égide de la régie immobilière dont l'intimé A.________ est propriétaire sur un immeuble voisin, l'entreprise mandatée pour ce faire - au demeurant la même que celle envisagée en l'espèce - empruntant l'escalier intérieur, puis une fenêtre d'escalier donnant sur le toit, accessible par un escabeau. Il considérait ainsi que les intimés pourraient effectuer les travaux planifiés en passant par les locaux aménagés sur leur parcelle. Cette allégation n'a pas été contestée, l'intimé A.________ relevant toutefois qu'en l'espèce cette possibilité n'était pas envisageable en tant que l'accès à la toiture par l'escalier intérieur était interdit par le département compétent et que l'entreprise mandatée refusait pour des raisons de sécurité de faire évacuer les gravats par l'escalier de secours. Ces dernières explications ont été fournie lors de l'audience du 24 avril 2017, sans être toutefois étayées par pièces avant la reddition du premier jugement. Le recourant a également soulevé l'hypothèse de l'enlèvement des gravats par un camion-grue, possibilité jugée trop onéreuse par les intimés.</w:t>
      </w:r>
    </w:p>
    <w:p>
      <w:r>
        <w:t>A ce stade et vu les exigences accrues qui s'appliquent en matière de mesures d'exécution anticipée provisoires avec effet définitif (consid. 4.2.2 supra), il faut en conséquence admettre que les faits tels qu'établis par la cour cantonale ne permettent pas de retenir le caractère vraisemblable de la prétention élevée par les intimés, à savoir la nécessité d'emprunter la parcelle voisine appartenant au recourant. Dans ces conditions, il convient d'annuler l'arrêt entrepris et de renvoyer la cause à la cour cantonale pour instruction et nouvelle décision.</w:t>
      </w:r>
    </w:p>
    <w:p>
      <w:r>
        <w:rPr>
          <w:b/>
        </w:rPr>
        <w:t>E. 5</w:t>
      </w:r>
    </w:p>
    <w:p>
      <w:r>
        <w:t>Vu l'issue du recours, les frais judiciaires et les dépens sont mis à la charge des intimés, solidairement entre eux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