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5D_218/2023 vom 1. Dezember 2023</w:t>
      </w:r>
    </w:p>
    <w:p>
      <w:r>
        <w:t>Bundesgericht, 2023-12-01, DE</w:t>
      </w:r>
    </w:p>
    <w:p>
      <w:r>
        <w:rPr>
          <w:b/>
        </w:rPr>
        <w:t xml:space="preserve">Quelle: </w:t>
      </w:r>
      <w:r>
        <w:t>https://mcp.opencaselaw.ch/entscheid/bger_5D_218_2023</w:t>
      </w:r>
    </w:p>
    <w:p>
      <w:r>
        <w:t>FR: TF 5D_218/2023 du 1 décembre 2023</w:t>
      </w:r>
    </w:p>
    <w:p>
      <w:r>
        <w:t>IT: TF 5D_218/2023 del 1 dicembre 2023</w:t>
      </w:r>
    </w:p>
    <w:p>
      <w:pPr>
        <w:pStyle w:val="Heading2"/>
      </w:pPr>
      <w:r>
        <w:t>Erwägungen</w:t>
      </w:r>
    </w:p>
    <w:p>
      <w:r>
        <w:rPr>
          <w:b/>
        </w:rPr>
        <w:t>E. 1</w:t>
      </w:r>
    </w:p>
    <w:p>
      <w:r>
        <w:t>Mit Entscheid vom 27. September 2023 erteilte das Regionalgericht Oberland der Beschwerdegegnerin gegenüber dem Beschwerdeführer in der Betreibung Nr. xxx des Betreibungsamtes Oberland, Dienststelle Oberland West, die definitive Rechtsöffnung für Fr. 3'552.05 nebst Zins.</w:t>
      </w:r>
    </w:p>
    <w:p>
      <w:r>
        <w:t>Dagegen erhob der Beschwerdeführer am 17. Oktober 2023 (Postaufgabe) Beschwerde. Mit Entscheid vom 24. Oktober 2023 trat das Obergericht des Kantons Bern auf die Beschwerde infolge Verspätung nicht ein.</w:t>
      </w:r>
    </w:p>
    <w:p>
      <w:r>
        <w:t>Dagegen hat der Beschwerdeführer am 28. November 2023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geht jedoch nicht darauf ein, dass er seine kantonale Beschwerde verspätet eingereicht hat. Stattdessen macht er geltend, er habe die Forderung bezahlt.</w:t>
      </w:r>
    </w:p>
    <w:p>
      <w:r>
        <w:t>Die Beschwerde enthält offensichtlich keine hinreichende Begründung. Der Abteilungspräsident tritt auf sie im vereinfachten Verfahren nicht ein (Art. 117 i.V.m.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