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217/2020 vom 12. August 2020</w:t>
      </w:r>
    </w:p>
    <w:p>
      <w:r>
        <w:t>Bundesgericht, 2020-08-12, DE</w:t>
      </w:r>
    </w:p>
    <w:p>
      <w:r>
        <w:rPr>
          <w:b/>
        </w:rPr>
        <w:t xml:space="preserve">Quelle: </w:t>
      </w:r>
      <w:r>
        <w:t>https://mcp.opencaselaw.ch/entscheid/bger_5D_217_2020</w:t>
      </w:r>
    </w:p>
    <w:p>
      <w:r>
        <w:t>FR: TF 5D 217/2020 du 12 août 2020</w:t>
      </w:r>
    </w:p>
    <w:p>
      <w:r>
        <w:t>IT: TF 5D 217/2020 del 12 agosto 2020</w:t>
      </w:r>
    </w:p>
    <w:p>
      <w:pPr>
        <w:pStyle w:val="Heading2"/>
      </w:pPr>
      <w:r>
        <w:t>Regeste</w:t>
      </w:r>
    </w:p>
    <w:p>
      <w:r>
        <w:t>Definitive Rechtsöffnung | Schuldbetreibungs- und Konkursrecht</w:t>
      </w:r>
    </w:p>
    <w:p>
      <w:pPr>
        <w:pStyle w:val="Heading2"/>
      </w:pPr>
      <w:r>
        <w:t>Erwägungen</w:t>
      </w:r>
    </w:p>
    <w:p>
      <w:r>
        <w:rPr>
          <w:b/>
        </w:rPr>
        <w:t>E. 1</w:t>
      </w:r>
    </w:p>
    <w:p>
      <w:r>
        <w:t>Der für die Beschwerde in Zivilsachen erforderliche Mindeststreitwert von Fr. 30'000.-- ( Art. 74 Abs. 1 lit. b BGG ) ist nicht erreicht, weshalb die Beschwerde in Zivilsachen nicht offen steht, sondern einzig die subsidiäre Verfassungsbeschwerde gegeben ist ( Art. 113 BGG ).</w:t>
      </w:r>
    </w:p>
    <w:p>
      <w:r>
        <w:rPr>
          <w:b/>
        </w:rPr>
        <w:t>E. 2</w:t>
      </w:r>
    </w:p>
    <w:p>
      <w:r>
        <w:t>Mit der subsidiären kann einzig die Verletzung verfassungsmässiger Rechte gerügt werden ( Art. 116 BGG ), wofür das strenge Rügeprinzip gilt (Art. 106 Abs. 2 i.V.m. Art. 117 BGG ). Dies bedeutet, dass anhand der Erwägungen des angefochtenen Entscheids klar und detailliert darzulegen ist, inwiefern verfassungsmässige Rechte verletzt worden sein sollen, während auf appellatorische Ausführungen nicht eingetreten werden kann ( BGE 134 II 244 E. 2.2 S. 246; 140 III 264 E. 2.3 S. 266; 142 III 364 E. 2.4 S. 368).</w:t>
      </w:r>
    </w:p>
    <w:p>
      <w:r>
        <w:rPr>
          <w:b/>
        </w:rPr>
        <w:t>E. 3</w:t>
      </w:r>
    </w:p>
    <w:p>
      <w:r>
        <w:t>Der Beschwerdeführer macht keinerlei Verfassungsverletzungen geltend, weshalb die Beschwerde den Begründungsanforderungen nicht genügt. Im Übrigen wäre sie ohnehin auch bei korrekten Rügen in der Sache unbegründet: Der Beschwerdeführer stellt ausschliesslich die Veranlagung in Frage, indem er geltend macht, diese würde auf den veralteten Werten von 2013 beruhen; indes haben ihm bereits beide kantonalen Instanzen erklärt, dass eine rechtskräftige Veranlagung im Rechtsöffnungsverfahren nicht mehr in Frage gestellt werden kann.</w:t>
      </w:r>
    </w:p>
    <w:p>
      <w:r>
        <w:rPr>
          <w:b/>
        </w:rPr>
        <w:t>E. 4</w:t>
      </w:r>
    </w:p>
    <w:p>
      <w:r>
        <w:t>Nach dem Gesagten erweist sich die Beschwerde als offensichtlich nicht hinreichend begründet und es ist auf sie im vereinfachten Verfahren nach Art. 108 Abs. 1 lit. b BGG nicht einzutreten.</w:t>
      </w:r>
    </w:p>
    <w:p>
      <w:r>
        <w:rPr>
          <w:b/>
        </w:rPr>
        <w:t>E. 5</w:t>
      </w:r>
    </w:p>
    <w:p>
      <w:r>
        <w:t>Die Gerichtskosten sind dem Beschwerdeführer aufzuerlegen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