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5D_215/2019 vom 28. November 2019</w:t>
      </w:r>
    </w:p>
    <w:p>
      <w:r>
        <w:t>Bundesgericht, 2019-11-28, DE</w:t>
      </w:r>
    </w:p>
    <w:p>
      <w:r>
        <w:rPr>
          <w:b/>
        </w:rPr>
        <w:t xml:space="preserve">Quelle: </w:t>
      </w:r>
      <w:r>
        <w:t>https://mcp.opencaselaw.ch/entscheid/bger_5D_215_2019</w:t>
      </w:r>
    </w:p>
    <w:p>
      <w:r>
        <w:t>FR: TF 5D_215/2019 du 28 novembre 2019</w:t>
      </w:r>
    </w:p>
    <w:p>
      <w:r>
        <w:t>IT: TF 5D_215/2019 del 28 novembre 2019</w:t>
      </w:r>
    </w:p>
    <w:p>
      <w:pPr>
        <w:pStyle w:val="Heading2"/>
      </w:pPr>
      <w:r>
        <w:t>Erwägungen</w:t>
      </w:r>
    </w:p>
    <w:p>
      <w:r>
        <w:rPr>
          <w:b/>
        </w:rPr>
        <w:t>E. 1</w:t>
      </w:r>
    </w:p>
    <w:p>
      <w:r>
        <w:t>Mit Urteil vom 18. Juni 2019 erteilte das Bezirksgericht Affoltern der Beschwerdegegnerin gegenüber dem Beschwerdeführer in der Betreibung Nr. yyy des Betreibungsamtes U.________ - gestützt auf das Scheidungsurteil des Bezirksgerichts Affoltern vom 16. März 2015 für ausstehende Unterhaltsbeiträge - definitive Rechtsöffnung für Fr. 24'000.--.</w:t>
      </w:r>
    </w:p>
    <w:p>
      <w:r>
        <w:t>Dagegen erhob der Beschwerdeführer am 21. September 2019 Beschwerde. Zudem ersuchte er um Revision des Scheidungsurteils. Mit Beschluss und Urteil vom 22. Oktober 2019 trat das Obergericht des Kantons Zürich auf das Gesuch um Revision bzw. die Klage auf Abänderung des Scheidungsurteils nicht ein und wies die Beschwerde ab.</w:t>
      </w:r>
    </w:p>
    <w:p>
      <w:r>
        <w:t>Dagegen hat der Beschwerdeführer am 25. November 2019 (Postaufgabe) Beschwerde an das Bundesgericht erhoben.</w:t>
      </w:r>
    </w:p>
    <w:p>
      <w:r>
        <w:rPr>
          <w:b/>
        </w:rPr>
        <w:t>E. 2</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3.1</w:t>
      </w:r>
    </w:p>
    <w:p>
      <w:r>
        <w:t>Der Beschwerdeführer bringt vor, das Obergericht habe sich nicht mit seinem Vorbringen auseinandergesetzt, wonach die geforderten Unterhaltszahlungen nicht mehr zumutbar seien.</w:t>
      </w:r>
    </w:p>
    <w:p>
      <w:r>
        <w:t>Das Obergericht hat ihm auf diesen Einwand hin die Natur des Rechtsöffnungsverfahrens erläutert und dargestellt, weshalb auf sein Vorbringen nicht eingegangen werden kann. Der Beschwerdeführer zeigt nicht ansatzweise auf, inwiefern diese Erwägungen des Obergerichts gegen verfassungsmässige Rechte verstossen sollen.</w:t>
      </w:r>
    </w:p>
    <w:p>
      <w:r>
        <w:rPr>
          <w:b/>
        </w:rPr>
        <w:t>E. 3.2</w:t>
      </w:r>
    </w:p>
    <w:p>
      <w:r>
        <w:t>Der Beschwerdeführer will ausserdem das Scheidungsurteil mit subsidiärer Verfassungsbeschwerde anfechten. Die Verfassungsbeschwerde gegen das Urteil einer unteren Instanz (Bezirksgericht Affoltern) ist unzulässig (Art. 114 i.V.m. Art. 75 BGG ) und die Beschwerdefrist ist ohnehin längstens abgelaufen. Das Obergericht hat ihm im Übrigen aufgezeigt, wie er die Abänderung des Scheidungsurteils erwirken kann. Darauf geht der Beschwerdeführer nicht ein.</w:t>
      </w:r>
    </w:p>
    <w:p>
      <w:r>
        <w:rPr>
          <w:b/>
        </w:rPr>
        <w:t>E. 3.3</w:t>
      </w:r>
    </w:p>
    <w:p>
      <w:r>
        <w:t>Die Beschwerde ist damit offensichtlich unzulässig und offensichtlich mangelhaft begründet.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