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5D_215/2011 vom 12. September 2012</w:t>
      </w:r>
    </w:p>
    <w:p>
      <w:r>
        <w:t>Bundesgericht, 2012-09-12, FR</w:t>
      </w:r>
    </w:p>
    <w:p>
      <w:r>
        <w:rPr>
          <w:b/>
        </w:rPr>
        <w:t xml:space="preserve">Quelle: </w:t>
      </w:r>
      <w:r>
        <w:t>https://mcp.opencaselaw.ch/entscheid/bger_5D_215_2011</w:t>
      </w:r>
    </w:p>
    <w:p>
      <w:r>
        <w:t>FR: TF 5D_215/2011 du 12 septembre 2012</w:t>
      </w:r>
    </w:p>
    <w:p>
      <w:r>
        <w:t>IT: TF 5D_215/2011 del 12 settembre 2012</w:t>
      </w:r>
    </w:p>
    <w:p>
      <w:pPr>
        <w:pStyle w:val="Heading2"/>
      </w:pPr>
      <w:r>
        <w:t>Erwägungen</w:t>
      </w:r>
    </w:p>
    <w:p>
      <w:r>
        <w:rPr>
          <w:b/>
        </w:rPr>
        <w:t>E. 1</w:t>
      </w:r>
    </w:p>
    <w:p>
      <w:r>
        <w:t>Le recours a été déposé dans le délai légal ( art. 100 al. 1 LTF ) contre une décision finale ( art. 90 LTF ) rendue en application d'une norme de droit public dans une matière connexe au droit civil (art. 72 al. 2 let. b ch. 5 LTF) par une autorité cantonale de dernière instance statuant sur recours ( art. 75 LTF ); la recourante, qui a été déboutée par la juridiction précédente, a qualité pour recourir ( art. 76 al. 1 LTF ).</w:t>
      </w:r>
    </w:p>
    <w:p>
      <w:r>
        <w:t>Le litige est de nature pécuniaire (Geiser, in: Basler Kommentar, ZGB I, 4e éd., 2010, n° 9 ad art. 416 CC ); toutefois, la valeur litigieuse n'atteint pas le seuil de 30'000 fr., de sorte que le recours en matière civile n'est pas recevable ( art. 74 al. 1 let. b LTF ). La recourante n'allègue pas que la présente cause soulèverait une question de juridique de principe au sens de l' art. 74 al. 2 let. a LTF ( art. 42 al. 2 LTF ; cf. sur l'obligation d'exposer cette condition: ATF 133 II 396 consid. 2.2). Partant, seul le recours constitutionnel subsidiaire est ouvert ( art. 113 ss LTF ).</w:t>
      </w:r>
    </w:p>
    <w:p>
      <w:r>
        <w:rPr>
          <w:b/>
        </w:rPr>
        <w:t>E. 2</w:t>
      </w:r>
    </w:p>
    <w:p>
      <w:r>
        <w:t>D'emblée, il convient de réfuter les différents griefs d'ordre procédural soulevés par la recourante.</w:t>
      </w:r>
    </w:p>
    <w:p>
      <w:r>
        <w:rPr>
          <w:b/>
        </w:rPr>
        <w:t>E. 2.1</w:t>
      </w:r>
    </w:p>
    <w:p>
      <w:r>
        <w:t>Comme le souligne l'arrêt déféré, l'autorité tutélaire jouit d'un large pouvoir d'appréciation dans la fixation de la rémunération du tuteur prévue à l' art. 416 CC ; quoi qu'en dise la recourante, le juge précédent, qui a rappelé ce principe, n'a pas "examiné uniquement sous l'angle de l'arbitraire l'application du droit fédéral" ( ATF 116 IV 288 consid. 2b et les références). Ce reproche est au demeurant peu compréhensible, dès lors que l'intéressée prétend par ailleurs que cette disposition n'est pas applicable en l'espèce (cf. infra, consid. 3).</w:t>
      </w:r>
    </w:p>
    <w:p>
      <w:r>
        <w:t>L'autorité précédente n'a pas davantage violé le droit de la recourante à une décision motivée en refusant d'ordonner les mesures probatoires requises par les parties; en substance, elle a estimé que les pièces du dossier rendaient superflues l'audition des parties et que les décisions fixant la "rémunération" du tuteur avaient acquis force de chose jugée, de sorte qu'elles ne pouvaient plus être remises en discussion, "sauf à emprunter la voie de l'action en responsabilité" des art. 426 ss CC (consid. 3.4 p. 14). Cette motivation satisfait aux exigences découlant de l' art. 29 al. 2 Cst. (cf. sur ce point: ATF 136 I 229 consid. 5.2; 136 V 351 consid. 4.2 et les arrêts cités).</w:t>
      </w:r>
    </w:p>
    <w:p>
      <w:r>
        <w:rPr>
          <w:b/>
        </w:rPr>
        <w:t>E. 2.2</w:t>
      </w:r>
    </w:p>
    <w:p>
      <w:r>
        <w:t>La recourante reproche en outre au juge cantonal d'avoir appliqué les art. 8 CC et 316 al. 1 CPC au lieu des art. 17 ss LPJA/VS; toutefois, elle ne précise pas le contenu de ces dernières normes ni en quoi elles lui accorderaient des garanties plus étendues que les premières. De plus, le magistrat précédent a considéré que la procédure de recours était régie par le CPC en vertu des art. 116 et 118 al. 3 LACC/VS; or la recourante ne critique aucunement cet avis. Il s'ensuit que le grief est irrecevable, faute de motivation suffisante ( art. 106 al. 2 LTF ; ATF 134 II 244 consid. 2.2 et les arrêts cités).</w:t>
      </w:r>
    </w:p>
    <w:p>
      <w:r>
        <w:rPr>
          <w:b/>
        </w:rPr>
        <w:t>E. 3</w:t>
      </w:r>
    </w:p>
    <w:p>
      <w:r>
        <w:t>Il convient ensuite de déterminer le fondement juridique de la cause, point sur lequel divergent l'autorité précédente et la recourante.</w:t>
      </w:r>
    </w:p>
    <w:p>
      <w:r>
        <w:rPr>
          <w:b/>
        </w:rPr>
        <w:t>E. 3.1</w:t>
      </w:r>
    </w:p>
    <w:p>
      <w:r>
        <w:t>A l'instar de la Chambre de tutelle du district de Martigny, l'autorité précédente a retenu que le litige avait pour objet la "rémunération du tuteur" prévue à l' art. 416 CC .</w:t>
      </w:r>
    </w:p>
    <w:p>
      <w:r>
        <w:t>En revanche, la recourante soutient que la présente affaire ne concerne pas cette question, mais bien l'approbation des comptes du tuteur, de sorte que l' art. 416 CC n'entre pas en considération; ce raisonnement arbitraire aurait conduit l'autorité précédente à ne pas se prononcer sur la responsabilité du tuteur au sens des art. 426 ss CC , véritable objet de la procédure.</w:t>
      </w:r>
    </w:p>
    <w:p>
      <w:r>
        <w:rPr>
          <w:b/>
        </w:rPr>
        <w:t>E. 3.2</w:t>
      </w:r>
    </w:p>
    <w:p>
      <w:r>
        <w:t>Il faut concéder à la recourante que le montant de 1'900 fr. par mois n'a pas été prélevé à titre de "rémunération" du tuteur au sens de l' art. 416 CC , mais de frais d'entretien de la pupille ( art. 405 CC ). Cela ressort clairement des documents établis par la propre fiduciaire du tuteur, qui parle d'un montant correspondant au "logement / nourriture / blanchissage / etc.", avec lequel le "tuteur devra (...) faire face à toutes les factures courantes y compris les impôts" (rapport à la Chambre pupillaire de Saxon du 27 avril 2005), ou de "pension" de l'enfant (lettre du 31 juillet 2007); la même conclusion ressort du "Budget mensuel" établi par le tuteur lui-même et remis le 25 juin 2007, lequel comporte l'énumération des charges "fixes" et "variables" (2'265 fr.) en rapport avec les "revenus" (1'900 fr.). Les propos de la Chambre pupillaire de Saxon vont dans le même sens: sa décision du 6 mai 2010, relative au "refus d'approbation du rendement final des comptes au 28.06.2006", se réfère expressément au "prélèvement de Fr. 1'900.- / mois à titre de contribution d'entretien de [la recourante]"; dans ses déterminations du 16 septembre 2010, adressées à la Chambre de tutelle du district de Martigny, elle a déclaré que le montant précité "n'est en aucun cas une rémunération du tuteur", mais "est destiné à couvrir les frais de pension d'entretien de [la pupille]". Force est donc d'admettre que la décision attaquée est arbitraire dans la mesure où elle affirme, en contradiction flagrante avec le dossier, que les rapports accompagnant les comptes "contiennent une proposition de salaire formulée sans ambiguïté par le tuteur" (sur l'arbitraire dans l'établissement des faits et l'appréciation des preuves: ATF 136 III 552 consid. 4.2 et les arrêts cités).</w:t>
      </w:r>
    </w:p>
    <w:p>
      <w:r>
        <w:t>Comme l'avait relevé la Chambre pupillaire de Saxon dans les déterminations précitées, le prélèvement d'une rétribution indue sur les avoirs du pupille constitue un dommage dont le tuteur répond sur la base des art. 426 ss CC (arrêt 5C.162/2002 du 28 janvier 2003 consid. 2.3.3); toutefois, il appartient alors au juge ordinaire ( art. 430 CC ), et non pas à l'autorité tutélaire, d'en connaître. Par conséquent, c'est à tort que la recourante reproche à l'autorité précédente de ne pas s'être prononcée sur "la notion de responsabilité du tuteur et les montants dus à ce titre" en vertu des art. 426 ss CC ; le cas échéant, il lui appartiendra de faire valoir sa prétention en remboursement devant la juridiction compétente (cf. RDT 1953 p. 67 [i.c. compensation invoquée sans succès devant l'autorité tutélaire par les héritiers du pupille]), étant par ailleurs rappelé que l'approbation des comptes périodiques n'exclut pas l'exercice de l'action en responsabilité (Geiser, op. cit., n° 6 ad art. 423 CC ).</w:t>
      </w:r>
    </w:p>
    <w:p>
      <w:r>
        <w:t>Il reste dès lors à examiner si la décision attaquée s'avère néanmoins soutenable dans son résultat, en tant qu'elle reconnaît au tuteur une rémunération mensuelle de 1'900 fr. du chef de son activité; ce point ressortit à la compétence exclusive de l'autorité tutélaire ( ATF 85 II 103 consid. 2f; 113 II 394 consid. 2 in fine), même dans l'éventualité où le tuteur eût opposé sa rétribution en compensation à la réclamation du pupille fondée sur l' art. 426 CC ( ATF 69 II 23 ).</w:t>
      </w:r>
    </w:p>
    <w:p>
      <w:r>
        <w:rPr>
          <w:b/>
        </w:rPr>
        <w:t>E. 3.3</w:t>
      </w:r>
    </w:p>
    <w:p>
      <w:r>
        <w:t>Le juge précédent a correctement rappelé les principes applicables à la fixation de la rémunération du tuteur. S'agissant de sa quotité, la recourante se borne pour l'essentiel à exposer sa propre argumentation quant à l'activité de l'intimé - reprenant d'ailleurs largement ce qu'elle avait exposé dans son mémoire d'appel -, mais sans démontrer le caractère insoutenable de l'arrêt attaqué ( art. 106 al. 2 LTF ; ATF 134 II 349 consid. 3 et les arrêts cités). Quoi qu'elle en dise, le tuteur a droit à une rémunération aussi bien pour l'administration des biens que pour les soins personnels (Geiser, op. cit., n° 2 ad art. 416 CC et la doctrine citée; Albisser, Die Entschädigung des Vormundes eines bedürftigen Mündels, RDT 1946 p. 37), même s'il s'agit d'un proche parent (Egger, in: Zürcher Kommentar, 2e éd., 1948, n° 4 ad art. 416 CC ).</w:t>
      </w:r>
    </w:p>
    <w:p>
      <w:r>
        <w:t>En revanche, l'autorité précédente n'a pas pris position sur un aspect crucial qui ressort pourtant du dossier. Dans ses déterminations précitées (cf. supra, consid. 3.2), la Chambre pupillaire de Saxon a retenu que, "lors des séances de rendement périodiques des comptes qui se sont tenues après sa nomination, B.X.________ a toujours affirmé à la Chambre qu'il ne demandait rien pour son travail de tuteur et qu'il renonçait à recevoir toute rémunération pour le travail accompli annuellement". De fait, les décisions concernant l'approbation des comptes périodiques (cf. art. 423 CC ), qui - comme le reconnaît la juridiction précédente - sont censées se prononcer aussi sur la rémunération du tuteur (Geiser, op. cit., n° 7 ad art. 416 CC ), indiquent que "[l']indemnité de gestion est fixée à Fr. 0.00 et est allouée au tuteur" (décisions des 3 avril 2004, 28 avril 2005 et 8 mars 2006). Une pareille renonciation étant licite (Egger, op. cit., n° 4 ad art. 416 CC ), il appartiendra au juge cantonal d'éclaircir ce point, par exemple en procédant à l'audition des parties et/ou des membres de la Chambre pupillaire. Il s'ensuit que le recours apparaît fondé à cet égard.</w:t>
      </w:r>
    </w:p>
    <w:p>
      <w:r>
        <w:rPr>
          <w:b/>
        </w:rPr>
        <w:t>E. 4</w:t>
      </w:r>
    </w:p>
    <w:p>
      <w:r>
        <w:t>En conclusion, le présent recours doit être admis dans la mesure de sa recevabilité, la décision entreprise annulée et la cause renvoyée à la juridiction précédente pour nouvelle décision. Vu l'issue incertaine de la procédure, il se justifie de mettre les frais judiciaires par moitié à la charge de chacune des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