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5D_210/2019 vom 13. November 2019</w:t>
      </w:r>
    </w:p>
    <w:p>
      <w:r>
        <w:t>Bundesgericht, 2019-11-13, DE</w:t>
      </w:r>
    </w:p>
    <w:p>
      <w:r>
        <w:rPr>
          <w:b/>
        </w:rPr>
        <w:t xml:space="preserve">Quelle: </w:t>
      </w:r>
      <w:r>
        <w:t>https://mcp.opencaselaw.ch/entscheid/bger_5D_210_2019</w:t>
      </w:r>
    </w:p>
    <w:p>
      <w:r>
        <w:t>FR: TF 5D_210/2019 du 13 novembre 2019</w:t>
      </w:r>
    </w:p>
    <w:p>
      <w:r>
        <w:t>IT: TF 5D_210/2019 del 13 novembre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Streitwert beträgt nach den Feststellungen des angefochtenen Entscheides Fr. 5'000.-- und dies wird in der Beschwerde nicht infrage gestellt. Damit ist der für eine Beschwerde in Zivilsachen erforderliche Mindeststreitwert von Fr. 30'000.-- nicht erreicht ( Art. 74 Abs. 1 lit. b BGG ) und es steht folglich - wie dies in der Rechtsmittelbelehrung bezeichnet wurde - einzig die subsidiäre Verfassungsbeschwerde offen ( Art. 113 BGG ).</w:t>
      </w:r>
    </w:p>
    <w:p>
      <w:r>
        <w:rPr>
          <w:b/>
        </w:rPr>
        <w:t>E. 2</w:t>
      </w:r>
    </w:p>
    <w:p>
      <w:r>
        <w:t>Mit der subsidiären Verfassungsbeschwerde kann nur die Verletzung verfassungsmässiger Rechte gerügt werden ( Art. 116 BGG ).</w:t>
      </w:r>
    </w:p>
    <w:p>
      <w:r>
        <w:t>Der Beschwerdeführer macht weder der Form nach noch inhaltlich irgendwelche Verfassungsverletzungen geltend. Er vertritt in appellatorischer Weise sinngemäss die Ansicht, beim seinerzeitigen Vergleich durch Lügen getäuscht bzw. "regurichtig pschissä u über z'Näscht acha gschrisse" worden zu sein. Darauf kann nicht eingetreten werden.</w:t>
      </w:r>
    </w:p>
    <w:p>
      <w:r>
        <w:rPr>
          <w:b/>
        </w:rPr>
        <w:t>E. 3</w:t>
      </w:r>
    </w:p>
    <w:p>
      <w:r>
        <w:t>Die Beschwerde ist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4</w:t>
      </w:r>
    </w:p>
    <w:p>
      <w:r>
        <w:t>Angesichts der konkreten Umstände wird auf die Erhebung von Gerichtskosten verzichtet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