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20/2022 vom 21. Februar 2022</w:t>
      </w:r>
    </w:p>
    <w:p>
      <w:r>
        <w:t>Bundesgericht, 2022-02-21, DE</w:t>
      </w:r>
    </w:p>
    <w:p>
      <w:r>
        <w:rPr>
          <w:b/>
        </w:rPr>
        <w:t xml:space="preserve">Quelle: </w:t>
      </w:r>
      <w:r>
        <w:t>https://mcp.opencaselaw.ch/entscheid/bger_5D_20_2022</w:t>
      </w:r>
    </w:p>
    <w:p>
      <w:r>
        <w:t>FR: TF 5D 20/2022 du 21 février 2022</w:t>
      </w:r>
    </w:p>
    <w:p>
      <w:r>
        <w:t>IT: TF 5D 20/2022 del 21 febbraio 2022</w:t>
      </w:r>
    </w:p>
    <w:p>
      <w:pPr>
        <w:pStyle w:val="Heading2"/>
      </w:pPr>
      <w:r>
        <w:t>Regeste</w:t>
      </w:r>
    </w:p>
    <w:p>
      <w:r>
        <w:t>Definitive Rechtsöffnung | Schuldbetreibungs- und Konkursrecht</w:t>
      </w:r>
    </w:p>
    <w:p>
      <w:pPr>
        <w:pStyle w:val="Heading2"/>
      </w:pPr>
      <w:r>
        <w:t>Erwägungen</w:t>
      </w:r>
    </w:p>
    <w:p>
      <w:r>
        <w:rPr>
          <w:b/>
        </w:rPr>
        <w:t>E. 1</w:t>
      </w:r>
    </w:p>
    <w:p>
      <w:r>
        <w:t>Mit Entscheid vom 26. November 2021 erteilte das Regionalgericht Bern-Mittelland der Beschwerdegegnerin gegenüber dem Beschwerdeführer in der Betreibung Nr. xxx des Betreibungsamtes Bern-Mittelland, Dienststelle Mittelland, die definitive Rechtsöffnung für Fr. 179.80 nebst Zinsen und Gebühren. Dagegen erhob der Beschwerdeführer am 6. Dezember 2021 Beschwerde beim Obergericht des Kantons Bern. Mit Entscheid vom 7. Januar 2022 trat das Obergericht auf die Beschwerde nicht ein, da sich der Beschwerdeführer mit dem angefochtenen Entscheid nicht ansatzweise auseinandergesetzt, sondern einzig seine Ausführungen aus dem erstinstanzlichen Verfahren wiederholt habe. Für die Beantwortung der Fragen des Beschwerdeführers sei das Obergericht nicht zuständig. Am 5. Februar 2022 hat der Beschwerdeführer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Vor Bundesgericht kann einzig der Entscheid des Obergerichts angefochten werden. Soweit der Beschwerdeführer auch den Entscheid des Regionalgerichts anficht, ist darauf nicht einzutreten (Art. 114 i.V.m. Art. 75 BGG ). 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Eine solche Auseinandersetzung erfolgt nicht und der Beschwerdeführer nennt keine verfassungsmässigen Rechte, die verletzt worden sein sollen. Es genügt nicht, vom Bundesgericht eine Prüfung zu verlangen, aus welchen Gründen die kantonale Beschwerde unzulässig und unbegründet gewesen ist. Die Beschwerde erschöpft sich im Wesentlichen in einer Reihe von Fragen und vom Bundesgericht zu überprüfenden Behauptungen, aus deren Beantwortung bzw. der erwarteten Zustimmung sich der Beschwerdeführer offensichtlich eine Bestätigung seiner Ideologie (Behörden und Ämter seien Privatfirmen, weshalb alle ihre Handlungen illegal seien, etc.) erhofft. Dafür ist das Bundesgericht nicht zuständig. Die Beschwerde ist damit offensichtlich unzulässig und sie enthält offensichtlich keine hinreichende Begründung. Auf sie ist im vereinfachten Verfahren durch den Abteilungspräsidenten nicht einzutreten (Art. 117 i.V.m.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