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20/2021 vom 1. Februar 2021</w:t>
      </w:r>
    </w:p>
    <w:p>
      <w:r>
        <w:t>Bundesgericht, 2021-02-01, DE</w:t>
      </w:r>
    </w:p>
    <w:p>
      <w:r>
        <w:rPr>
          <w:b/>
        </w:rPr>
        <w:t xml:space="preserve">Quelle: </w:t>
      </w:r>
      <w:r>
        <w:t>https://mcp.opencaselaw.ch/entscheid/bger_5D_20_2021</w:t>
      </w:r>
    </w:p>
    <w:p>
      <w:r>
        <w:t>FR: TF 5D 20/2021 du 1 février 2021</w:t>
      </w:r>
    </w:p>
    <w:p>
      <w:r>
        <w:t>IT: TF 5D 20/2021 del 1 febbraio 2021</w:t>
      </w:r>
    </w:p>
    <w:p>
      <w:pPr>
        <w:pStyle w:val="Heading2"/>
      </w:pPr>
      <w:r>
        <w:t>Regeste</w:t>
      </w:r>
    </w:p>
    <w:p>
      <w:r>
        <w:t>Rechtsöffnung | Schuldbetreibungs- und Konkursrecht</w:t>
      </w:r>
    </w:p>
    <w:p>
      <w:pPr>
        <w:pStyle w:val="Heading2"/>
      </w:pPr>
      <w:r>
        <w:t>Erwägungen</w:t>
      </w:r>
    </w:p>
    <w:p>
      <w:r>
        <w:rPr>
          <w:b/>
        </w:rPr>
        <w:t>E. 1</w:t>
      </w:r>
    </w:p>
    <w:p>
      <w:r>
        <w:t>Der Streitwert erreicht den für die Beschwerde in Zivilsachen erforderlichen Mindestbetrag von Fr. 30'000.-- nicht ( Art. 74 Abs. 1 lit. b BGG ), weshalb nur die subsidiäre Verfassungsbeschwerde zur Verfügung steht ( Art. 113 BGG ). Mit ihr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2</w:t>
      </w:r>
    </w:p>
    <w:p>
      <w:r>
        <w:t>In der Beschwerde werden keine verfassungsmässigen Rechte als verletzt angerufen und die Ausführungen vermögen auch inhaltlich den vorstehend dargelegten Begründungsanforderungen für Verfassungsrügen nicht gerecht zu werden, indem kurz der Streitgegenstand (Frage, ob ein zahlungsfähiger Ersatzmieter angeboten und akzeptiert wurde) aus eigener Sicht geschildert wird. Damit erweist sich die Beschwerde als offensichtlich nicht hinreichend begründet, weshalb auf sie im vereinfachten Verfahren nach Art. 108 Abs. 1 lit. b BGG nicht einzutreten ist.</w:t>
      </w:r>
    </w:p>
    <w:p>
      <w:r>
        <w:rPr>
          <w:b/>
        </w:rPr>
        <w:t>E. 3</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