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209/2019 vom 13. November 2019</w:t>
      </w:r>
    </w:p>
    <w:p>
      <w:r>
        <w:t>Bundesgericht, 2019-11-13, DE</w:t>
      </w:r>
    </w:p>
    <w:p>
      <w:r>
        <w:rPr>
          <w:b/>
        </w:rPr>
        <w:t xml:space="preserve">Quelle: </w:t>
      </w:r>
      <w:r>
        <w:t>https://mcp.opencaselaw.ch/entscheid/bger_5D_209_2019</w:t>
      </w:r>
    </w:p>
    <w:p>
      <w:r>
        <w:t>FR: TF 5D 209/2019 du 13 novembre 2019</w:t>
      </w:r>
    </w:p>
    <w:p>
      <w:r>
        <w:t>IT: TF 5D 209/2019 del 13 novembre 2019</w:t>
      </w:r>
    </w:p>
    <w:p>
      <w:pPr>
        <w:pStyle w:val="Heading2"/>
      </w:pPr>
      <w:r>
        <w:t>Regeste</w:t>
      </w:r>
    </w:p>
    <w:p>
      <w:r>
        <w:t>Herausgabe von Unterlagen (Rechtsschutz in klaren Fällen) | Sachenrecht</w:t>
      </w:r>
    </w:p>
    <w:p>
      <w:pPr>
        <w:pStyle w:val="Heading2"/>
      </w:pPr>
      <w:r>
        <w:t>Erwägungen</w:t>
      </w:r>
    </w:p>
    <w:p>
      <w:r>
        <w:rPr>
          <w:b/>
        </w:rPr>
        <w:t>E. 1</w:t>
      </w:r>
    </w:p>
    <w:p>
      <w:r>
        <w:t>Hintergrund der vorliegenden Streitsache ist ein Gerichtsverfahren, welches der Beschwerdeführer in der Vergangenheit gegen die C.________ AG geführt hatte und mit dessen Ergebnis er nicht einverstanden war. In der Folge nahm er Kontakt zu verschiedenen Mitgliedern der SVP auf, u.a. mit dem Beschwerdegegner, damit diese ihm helfen würden. Im Gesuchsverfahren behauptete der Beschwerdeführer dem Beschwerdegegner aufgrund telefonischer Vereinbarung zwei Aktenbündel zugeschickt und später zurückgefordert zu haben, wobei der Beschwerdegegner dieser Aufforderung nicht nachgekommen sei. Jener hielt vor erster Instanz fest, er habe dem Beschwerdeführer telefonisch erläutert, dass auch ein Politiker gegen rechtskräftige Urteile nichts unternehmen könne, weshalb der Beschwerdeführer ihm nichts zuschicken solle. Dennoch habe dieser ihm offenbar Unterlagen geschickt, allerdings an seine frühere Wohnadresse. Offenbar habe der Beschwerdeführer seine neue Wohnadresse ausfindig gemacht und ihm das ursprüngliche Schreiben vom 2. April 2019 geschickt, überschrieben mit roter Schreibmaschinenschrift mit der Bitte um Herausgabe der Akten. Allerdings habe er vom Beschwerdeführer nie Unterlagen erhalten. Vor diesem Hintergrund erachteten das Bezirksgericht wie auch das Obergericht den Sachverhalt als nicht liquid.</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Was der Beschwerdeführer vorbringt (bei den Einwänden handle es sich um Lügengewebe bzw. um unbewiesene verleumderische Behauptungen; die Post sei zuverlässig; der Beschwerdegegner habe die Unterlagen erhalten und alle Fehler würden bei jenem liegen; mangels von Beweisen für die Einwände hätte das Herausgabegesuch gutgeheissen werden müssen), ist nicht geeignet, eine Rechtsverletzung aufzuzeigen, zumal ist die fehlende Liquidität des Sachverhaltes augenfällig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