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206/2023 vom 14. November 2023</w:t>
      </w:r>
    </w:p>
    <w:p>
      <w:r>
        <w:t>Bundesgericht, 2023-11-14, DE</w:t>
      </w:r>
    </w:p>
    <w:p>
      <w:r>
        <w:rPr>
          <w:b/>
        </w:rPr>
        <w:t xml:space="preserve">Quelle: </w:t>
      </w:r>
      <w:r>
        <w:t>https://mcp.opencaselaw.ch/entscheid/bger_5D_206_2023</w:t>
      </w:r>
    </w:p>
    <w:p>
      <w:r>
        <w:t>FR: TF 5D 206/2023 du 14 novembre 2023</w:t>
      </w:r>
    </w:p>
    <w:p>
      <w:r>
        <w:t>IT: TF 5D 206/2023 del 14 novembre 2023</w:t>
      </w:r>
    </w:p>
    <w:p>
      <w:pPr>
        <w:pStyle w:val="Heading2"/>
      </w:pPr>
      <w:r>
        <w:t>Regeste</w:t>
      </w:r>
    </w:p>
    <w:p>
      <w:r>
        <w:t>Definitive Rechtsöffnung | Schuldbetreibungs- und Konkursrecht</w:t>
      </w:r>
    </w:p>
    <w:p>
      <w:pPr>
        <w:pStyle w:val="Heading2"/>
      </w:pPr>
      <w:r>
        <w:t>Erwägungen</w:t>
      </w:r>
    </w:p>
    <w:p>
      <w:r>
        <w:rPr>
          <w:b/>
        </w:rPr>
        <w:t>E. 1</w:t>
      </w:r>
    </w:p>
    <w:p>
      <w:r>
        <w:t>Mit Entscheid vom 24. August 2023 erteilte das Kreisgericht Toggenburg dem Beschwerdegegner gegenüber dem Beschwerdeführer in der Betreibung Nr. xxx des Betreibungsamtes Ebnat-Kappel die definitive Rechtsöffnung für Fr. 600.--. Dagegen erhob der Beschwerdeführer am 11. September 2023 Beschwerde. Mit Entscheid vom 2. Oktober 2023 wies das Kantonsgericht St. Gallen die Beschwerde ab, soweit es darauf eintrat. Dagegen hat der Beschwerdeführer am 10. November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Kantonsgericht hat erwogen, das Kreisgericht habe richtigerweise erwogen, dass der vom Beschwerdegegner vorgelegte, vollstreckbare und formell rechtskräftige Beschluss des Obergerichts des Kantons Zürich vom 1. September 2022 ein definitiver Rechtsöffnungstitel für den Betrag von Fr. 600.-- (Gerichtsgebühr) sei und der Beschwerdeführer keine zulässigen Einwendungen erhoben habe. Die Beschwerde enthalte keinerlei Auseinandersetzung mit den zutreffenden Erwägungen des Kreisgerichts.</w:t>
      </w:r>
    </w:p>
    <w:p>
      <w:r>
        <w:rPr>
          <w:b/>
        </w:rPr>
        <w:t>E. 4</w:t>
      </w:r>
    </w:p>
    <w:p>
      <w:r>
        <w:t>Vor Bundesgericht geht der Beschwerdeführer auf diese Erwägungen nicht ein. Stattdessen äussert er sich zur Corona-Pandemie. Das von ihm kritisierte Verhalten der Behörden während der Pandemie ist jedoch nicht Verfahrensthema. Am Rande beruft er sich auf Art. 9 und 10 BV , ohne darzulegen, inwiefern das Kantonsgericht mit dem angefochtenen Entscheid gegen diese Normen verstossen haben soll. Die Beschwerde enthält offensichtlich keine hinreichende Begründung. Das präsidierende Mitglied tritt auf sie im vereinfachten Verfahren nicht ein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